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186" w:tblpY="1645"/>
        <w:tblOverlap w:val="never"/>
        <w:tblW w:w="2484" w:type="dxa"/>
        <w:tblCellMar>
          <w:left w:w="0" w:type="dxa"/>
        </w:tblCellMar>
        <w:tblLook w:val="01E0" w:firstRow="1" w:lastRow="1" w:firstColumn="1" w:lastColumn="1" w:noHBand="0" w:noVBand="0"/>
      </w:tblPr>
      <w:tblGrid>
        <w:gridCol w:w="2484"/>
      </w:tblGrid>
      <w:tr w:rsidR="00596D81" w:rsidRPr="007D1FCB" w:rsidTr="002164D4">
        <w:trPr>
          <w:trHeight w:val="3129"/>
        </w:trPr>
        <w:tc>
          <w:tcPr>
            <w:tcW w:w="2484" w:type="dxa"/>
          </w:tcPr>
          <w:p w:rsidR="00481547" w:rsidRPr="00204BD9" w:rsidRDefault="00481547" w:rsidP="002164D4">
            <w:pPr>
              <w:pStyle w:val="Departementtekst"/>
              <w:spacing w:after="0"/>
              <w:ind w:right="-108"/>
              <w:rPr>
                <w:rFonts w:ascii="Calibri" w:hAnsi="Calibri" w:cs="Calibri"/>
                <w:sz w:val="18"/>
                <w:szCs w:val="18"/>
              </w:rPr>
            </w:pPr>
          </w:p>
          <w:p w:rsidR="00481547" w:rsidRPr="00204BD9" w:rsidRDefault="00481547" w:rsidP="00675483">
            <w:pPr>
              <w:pStyle w:val="Departementtekst"/>
              <w:spacing w:after="0"/>
              <w:ind w:right="-108"/>
              <w:rPr>
                <w:rFonts w:ascii="Calibri" w:hAnsi="Calibri" w:cs="Calibri"/>
                <w:sz w:val="18"/>
                <w:szCs w:val="18"/>
              </w:rPr>
            </w:pPr>
          </w:p>
          <w:p w:rsidR="00675483" w:rsidRPr="00204BD9" w:rsidRDefault="00675483" w:rsidP="0079590A">
            <w:pPr>
              <w:jc w:val="left"/>
              <w:rPr>
                <w:rFonts w:ascii="Calibri" w:hAnsi="Calibri" w:cs="Calibri"/>
                <w:sz w:val="18"/>
                <w:szCs w:val="18"/>
              </w:rPr>
            </w:pPr>
          </w:p>
          <w:p w:rsidR="00675483" w:rsidRDefault="00675483" w:rsidP="00675483">
            <w:pPr>
              <w:jc w:val="left"/>
              <w:rPr>
                <w:rFonts w:ascii="Calibri" w:hAnsi="Calibri" w:cs="Calibri"/>
                <w:bCs/>
                <w:sz w:val="18"/>
                <w:szCs w:val="18"/>
                <w:lang w:eastAsia="da-DK"/>
              </w:rPr>
            </w:pPr>
            <w:r w:rsidRPr="00204BD9">
              <w:rPr>
                <w:rFonts w:ascii="Calibri" w:hAnsi="Calibri" w:cs="Calibri"/>
                <w:bCs/>
                <w:sz w:val="18"/>
                <w:szCs w:val="18"/>
                <w:lang w:eastAsia="da-DK"/>
              </w:rPr>
              <w:t xml:space="preserve">J.nr. </w:t>
            </w:r>
            <w:bookmarkStart w:id="0" w:name="sagsnr"/>
            <w:r w:rsidR="003301BE">
              <w:rPr>
                <w:rFonts w:ascii="Calibri" w:hAnsi="Calibri" w:cs="Calibri"/>
                <w:bCs/>
                <w:sz w:val="18"/>
                <w:szCs w:val="18"/>
                <w:lang w:eastAsia="da-DK"/>
              </w:rPr>
              <w:t>12-0173449</w:t>
            </w:r>
            <w:bookmarkEnd w:id="0"/>
          </w:p>
          <w:p w:rsidR="00675483" w:rsidRPr="00204BD9" w:rsidRDefault="00AB73C8" w:rsidP="003301BE">
            <w:pPr>
              <w:jc w:val="left"/>
              <w:rPr>
                <w:rFonts w:ascii="Calibri" w:hAnsi="Calibri" w:cs="Calibri"/>
                <w:bCs/>
                <w:sz w:val="18"/>
                <w:szCs w:val="18"/>
                <w:lang w:eastAsia="da-DK"/>
              </w:rPr>
            </w:pPr>
            <w:r>
              <w:rPr>
                <w:rFonts w:ascii="Calibri" w:hAnsi="Calibri" w:cs="Calibri"/>
                <w:bCs/>
                <w:sz w:val="18"/>
                <w:szCs w:val="18"/>
                <w:lang w:eastAsia="da-DK"/>
              </w:rPr>
              <w:t xml:space="preserve">Den </w:t>
            </w:r>
            <w:r w:rsidR="003301BE">
              <w:rPr>
                <w:rFonts w:ascii="Calibri" w:hAnsi="Calibri" w:cs="Calibri"/>
                <w:bCs/>
                <w:sz w:val="18"/>
                <w:szCs w:val="18"/>
                <w:lang w:eastAsia="da-DK"/>
              </w:rPr>
              <w:t>4. december 2013</w:t>
            </w:r>
          </w:p>
          <w:p w:rsidR="00675483" w:rsidRPr="0027722C" w:rsidRDefault="00675483" w:rsidP="00675483">
            <w:pPr>
              <w:jc w:val="left"/>
              <w:rPr>
                <w:rFonts w:ascii="Calibri" w:hAnsi="Calibri" w:cs="Calibri"/>
                <w:bCs/>
                <w:sz w:val="18"/>
                <w:szCs w:val="18"/>
                <w:lang w:eastAsia="da-DK"/>
              </w:rPr>
            </w:pPr>
          </w:p>
          <w:p w:rsidR="00675483" w:rsidRPr="0027722C" w:rsidRDefault="00675483" w:rsidP="00675483">
            <w:pPr>
              <w:rPr>
                <w:rFonts w:ascii="Calibri" w:hAnsi="Calibri" w:cs="Calibri"/>
                <w:bCs/>
                <w:sz w:val="18"/>
                <w:szCs w:val="18"/>
                <w:lang w:eastAsia="da-DK"/>
              </w:rPr>
            </w:pPr>
          </w:p>
          <w:p w:rsidR="00F971D6" w:rsidRPr="007D1FCB" w:rsidRDefault="00F971D6" w:rsidP="00F971D6">
            <w:pPr>
              <w:pStyle w:val="Departementtekst"/>
              <w:rPr>
                <w:rFonts w:ascii="Calibri" w:hAnsi="Calibri" w:cs="Calibri"/>
                <w:sz w:val="18"/>
                <w:szCs w:val="18"/>
              </w:rPr>
            </w:pPr>
          </w:p>
        </w:tc>
      </w:tr>
    </w:tbl>
    <w:p w:rsidR="00204BD9" w:rsidRDefault="00204BD9" w:rsidP="009959AA">
      <w:pPr>
        <w:spacing w:line="276" w:lineRule="auto"/>
      </w:pPr>
      <w:r w:rsidRPr="00C428CE">
        <w:t>Til</w:t>
      </w:r>
      <w:r>
        <w:t xml:space="preserve"> </w:t>
      </w:r>
      <w:r w:rsidRPr="00C428CE">
        <w:t xml:space="preserve">Folketinget </w:t>
      </w:r>
      <w:r>
        <w:t>–</w:t>
      </w:r>
      <w:r w:rsidRPr="00C428CE">
        <w:t xml:space="preserve"> Skatteudvalget</w:t>
      </w:r>
    </w:p>
    <w:p w:rsidR="00204BD9" w:rsidRDefault="00204BD9" w:rsidP="009959AA">
      <w:pPr>
        <w:spacing w:line="276" w:lineRule="auto"/>
      </w:pPr>
    </w:p>
    <w:p w:rsidR="006B38B0" w:rsidRPr="002B4CB5" w:rsidRDefault="006B38B0" w:rsidP="009959AA">
      <w:pPr>
        <w:spacing w:line="276" w:lineRule="auto"/>
      </w:pPr>
    </w:p>
    <w:p w:rsidR="000F7B05" w:rsidRPr="00684545" w:rsidRDefault="000F7B05" w:rsidP="00850BB8">
      <w:pPr>
        <w:spacing w:line="276" w:lineRule="auto"/>
        <w:rPr>
          <w:b/>
          <w:bCs/>
        </w:rPr>
      </w:pPr>
      <w:r w:rsidRPr="00684545">
        <w:t xml:space="preserve">Til udvalgets orientering </w:t>
      </w:r>
      <w:r>
        <w:t>vedlægges høringsskema samt de modtagne hør</w:t>
      </w:r>
      <w:r w:rsidR="006B38B0">
        <w:t>ing</w:t>
      </w:r>
      <w:r w:rsidR="006B38B0">
        <w:t>s</w:t>
      </w:r>
      <w:r w:rsidR="006B38B0">
        <w:t>svar vedrørende forslag til</w:t>
      </w:r>
      <w:r w:rsidR="00850BB8" w:rsidRPr="00850BB8">
        <w:rPr>
          <w:rFonts w:asciiTheme="minorHAnsi" w:hAnsiTheme="minorHAnsi" w:cstheme="majorHAnsi"/>
          <w:szCs w:val="24"/>
        </w:rPr>
        <w:t xml:space="preserve"> lov om ændring af selskabsskatteloven (</w:t>
      </w:r>
      <w:r w:rsidR="00EA566E">
        <w:rPr>
          <w:rFonts w:asciiTheme="minorHAnsi" w:hAnsiTheme="minorHAnsi" w:cstheme="majorHAnsi"/>
          <w:szCs w:val="24"/>
        </w:rPr>
        <w:t>Henstand med e</w:t>
      </w:r>
      <w:r w:rsidR="00850BB8" w:rsidRPr="00850BB8">
        <w:rPr>
          <w:rFonts w:asciiTheme="minorHAnsi" w:hAnsiTheme="minorHAnsi" w:cstheme="majorHAnsi"/>
          <w:szCs w:val="24"/>
        </w:rPr>
        <w:t>xitskat</w:t>
      </w:r>
      <w:r w:rsidR="00EA566E">
        <w:rPr>
          <w:rFonts w:asciiTheme="minorHAnsi" w:hAnsiTheme="minorHAnsi" w:cstheme="majorHAnsi"/>
          <w:szCs w:val="24"/>
        </w:rPr>
        <w:t xml:space="preserve"> ved </w:t>
      </w:r>
      <w:r w:rsidR="00850BB8" w:rsidRPr="00850BB8">
        <w:rPr>
          <w:rFonts w:asciiTheme="minorHAnsi" w:hAnsiTheme="minorHAnsi" w:cstheme="majorHAnsi"/>
          <w:szCs w:val="24"/>
        </w:rPr>
        <w:t>selskabers overførsel af aktiver og passiver til et andet EU/EØS-land).</w:t>
      </w:r>
    </w:p>
    <w:p w:rsidR="00204BD9" w:rsidRDefault="00204BD9" w:rsidP="009959AA">
      <w:pPr>
        <w:spacing w:line="276" w:lineRule="auto"/>
      </w:pPr>
    </w:p>
    <w:p w:rsidR="007028CC" w:rsidRDefault="007028CC" w:rsidP="009959AA">
      <w:pPr>
        <w:spacing w:line="276" w:lineRule="auto"/>
      </w:pPr>
    </w:p>
    <w:p w:rsidR="007028CC" w:rsidRDefault="007028CC" w:rsidP="009959AA">
      <w:pPr>
        <w:spacing w:line="276" w:lineRule="auto"/>
      </w:pPr>
    </w:p>
    <w:p w:rsidR="007028CC" w:rsidRDefault="007028CC" w:rsidP="009959AA">
      <w:pPr>
        <w:spacing w:line="276" w:lineRule="auto"/>
      </w:pPr>
    </w:p>
    <w:p w:rsidR="00204BD9" w:rsidRPr="00C428CE" w:rsidRDefault="00204BD9" w:rsidP="009959AA">
      <w:pPr>
        <w:spacing w:line="276" w:lineRule="auto"/>
      </w:pPr>
    </w:p>
    <w:p w:rsidR="009959AA" w:rsidRDefault="00204BD9" w:rsidP="009959AA">
      <w:pPr>
        <w:tabs>
          <w:tab w:val="right" w:pos="2835"/>
          <w:tab w:val="left" w:pos="3686"/>
          <w:tab w:val="left" w:pos="3969"/>
        </w:tabs>
        <w:spacing w:line="276" w:lineRule="auto"/>
        <w:jc w:val="left"/>
      </w:pPr>
      <w:r>
        <w:tab/>
      </w:r>
      <w:r w:rsidR="009959AA">
        <w:t>Holger K. Nielsen</w:t>
      </w:r>
    </w:p>
    <w:p w:rsidR="009959AA" w:rsidRDefault="009959AA" w:rsidP="009959AA">
      <w:pPr>
        <w:tabs>
          <w:tab w:val="right" w:pos="2835"/>
          <w:tab w:val="left" w:pos="3686"/>
          <w:tab w:val="left" w:pos="3969"/>
        </w:tabs>
        <w:spacing w:line="276" w:lineRule="auto"/>
        <w:jc w:val="left"/>
      </w:pPr>
    </w:p>
    <w:p w:rsidR="009959AA" w:rsidRDefault="009959AA" w:rsidP="009959AA">
      <w:pPr>
        <w:tabs>
          <w:tab w:val="right" w:pos="2835"/>
          <w:tab w:val="left" w:pos="3686"/>
          <w:tab w:val="left" w:pos="4536"/>
        </w:tabs>
        <w:spacing w:line="276" w:lineRule="auto"/>
        <w:jc w:val="left"/>
      </w:pPr>
      <w:r>
        <w:tab/>
      </w:r>
      <w:r>
        <w:tab/>
        <w:t>/</w:t>
      </w:r>
    </w:p>
    <w:p w:rsidR="009959AA" w:rsidRDefault="009959AA" w:rsidP="009959AA">
      <w:pPr>
        <w:spacing w:line="276" w:lineRule="auto"/>
      </w:pPr>
    </w:p>
    <w:p w:rsidR="009959AA" w:rsidRDefault="009959AA" w:rsidP="00150AFB">
      <w:pPr>
        <w:tabs>
          <w:tab w:val="right" w:pos="2835"/>
          <w:tab w:val="left" w:pos="3686"/>
          <w:tab w:val="left" w:pos="4536"/>
        </w:tabs>
        <w:spacing w:line="276" w:lineRule="auto"/>
        <w:jc w:val="left"/>
      </w:pPr>
      <w:r>
        <w:tab/>
      </w:r>
      <w:r>
        <w:tab/>
      </w:r>
      <w:r>
        <w:tab/>
      </w:r>
      <w:r w:rsidR="00150AFB">
        <w:t xml:space="preserve">Lise Bo Nielsen </w:t>
      </w:r>
    </w:p>
    <w:p w:rsidR="000E614B" w:rsidRDefault="000E614B" w:rsidP="009959AA">
      <w:pPr>
        <w:tabs>
          <w:tab w:val="right" w:pos="3402"/>
          <w:tab w:val="left" w:pos="3686"/>
          <w:tab w:val="left" w:pos="3969"/>
        </w:tabs>
        <w:spacing w:line="276" w:lineRule="auto"/>
        <w:jc w:val="left"/>
        <w:rPr>
          <w:lang w:eastAsia="da-DK"/>
        </w:rPr>
      </w:pPr>
    </w:p>
    <w:p w:rsidR="006E1C89" w:rsidRDefault="006E1C89" w:rsidP="009959AA">
      <w:pPr>
        <w:spacing w:line="276" w:lineRule="auto"/>
        <w:jc w:val="left"/>
        <w:rPr>
          <w:lang w:eastAsia="da-DK"/>
        </w:rPr>
      </w:pPr>
      <w:r>
        <w:rPr>
          <w:lang w:eastAsia="da-DK"/>
        </w:rPr>
        <w:br w:type="page"/>
      </w:r>
    </w:p>
    <w:p w:rsidR="007D1FCB" w:rsidRDefault="006E1C89" w:rsidP="006E1C89">
      <w:pPr>
        <w:pStyle w:val="Overskrift1"/>
      </w:pPr>
      <w:r>
        <w:lastRenderedPageBreak/>
        <w:t>Hørings</w:t>
      </w:r>
      <w:r w:rsidR="00516D8C">
        <w:t>s</w:t>
      </w:r>
      <w:r>
        <w:t>kema</w:t>
      </w:r>
    </w:p>
    <w:p w:rsidR="00047FE5" w:rsidRPr="00047FE5" w:rsidRDefault="00047FE5" w:rsidP="00047FE5">
      <w:pPr>
        <w:rPr>
          <w:lang w:eastAsia="da-DK"/>
        </w:rPr>
      </w:pPr>
    </w:p>
    <w:p w:rsidR="006E1C89" w:rsidRDefault="006E1C89" w:rsidP="006E1C89">
      <w:pPr>
        <w:rPr>
          <w:lang w:eastAsia="da-DK"/>
        </w:rPr>
      </w:pPr>
    </w:p>
    <w:p w:rsidR="00ED0BE5" w:rsidRPr="00047FE5" w:rsidRDefault="00ED0BE5" w:rsidP="00ED0BE5">
      <w:pPr>
        <w:spacing w:line="276" w:lineRule="auto"/>
        <w:rPr>
          <w:lang w:eastAsia="da-DK"/>
        </w:rPr>
      </w:pPr>
    </w:p>
    <w:p w:rsidR="00ED0BE5" w:rsidRDefault="00ED0BE5" w:rsidP="00ED0BE5">
      <w:pPr>
        <w:spacing w:line="276" w:lineRule="auto"/>
        <w:rPr>
          <w:lang w:eastAsia="da-DK"/>
        </w:rPr>
      </w:pPr>
    </w:p>
    <w:tbl>
      <w:tblPr>
        <w:tblStyle w:val="Tabel-Gitter"/>
        <w:tblW w:w="6482" w:type="pct"/>
        <w:tblInd w:w="108" w:type="dxa"/>
        <w:tblBorders>
          <w:top w:val="single" w:sz="4" w:space="0" w:color="57788E" w:themeColor="accent2"/>
          <w:left w:val="single" w:sz="4" w:space="0" w:color="57788E" w:themeColor="accent2"/>
          <w:bottom w:val="single" w:sz="4" w:space="0" w:color="57788E" w:themeColor="accent2"/>
          <w:right w:val="single" w:sz="4" w:space="0" w:color="57788E" w:themeColor="accent2"/>
          <w:insideH w:val="single" w:sz="4" w:space="0" w:color="57788E" w:themeColor="accent2"/>
          <w:insideV w:val="single" w:sz="4" w:space="0" w:color="57788E" w:themeColor="accent2"/>
        </w:tblBorders>
        <w:tblLook w:val="04A0" w:firstRow="1" w:lastRow="0" w:firstColumn="1" w:lastColumn="0" w:noHBand="0" w:noVBand="1"/>
      </w:tblPr>
      <w:tblGrid>
        <w:gridCol w:w="1819"/>
        <w:gridCol w:w="3536"/>
        <w:gridCol w:w="4406"/>
      </w:tblGrid>
      <w:tr w:rsidR="00ED0BE5" w:rsidRPr="00C14813" w:rsidTr="003E40E3">
        <w:trPr>
          <w:trHeight w:hRule="exact" w:val="372"/>
        </w:trPr>
        <w:tc>
          <w:tcPr>
            <w:tcW w:w="1819" w:type="dxa"/>
            <w:shd w:val="clear" w:color="auto" w:fill="57788E" w:themeFill="accent2"/>
            <w:vAlign w:val="bottom"/>
          </w:tcPr>
          <w:p w:rsidR="00ED0BE5" w:rsidRPr="00C14813" w:rsidRDefault="00ED0BE5" w:rsidP="003E40E3">
            <w:pPr>
              <w:spacing w:after="60" w:line="276" w:lineRule="auto"/>
              <w:jc w:val="left"/>
              <w:rPr>
                <w:rFonts w:ascii="Calibri" w:hAnsi="Calibri" w:cs="Calibri"/>
                <w:b/>
                <w:color w:val="FFFFFF"/>
                <w:sz w:val="22"/>
              </w:rPr>
            </w:pPr>
            <w:r>
              <w:rPr>
                <w:rFonts w:ascii="Calibri" w:hAnsi="Calibri" w:cs="Calibri"/>
                <w:b/>
                <w:color w:val="FFFFFF"/>
                <w:sz w:val="22"/>
              </w:rPr>
              <w:t>Organisation</w:t>
            </w:r>
          </w:p>
        </w:tc>
        <w:tc>
          <w:tcPr>
            <w:tcW w:w="3536" w:type="dxa"/>
            <w:shd w:val="clear" w:color="auto" w:fill="57788E" w:themeFill="accent2"/>
            <w:vAlign w:val="bottom"/>
          </w:tcPr>
          <w:p w:rsidR="00ED0BE5" w:rsidRDefault="00ED0BE5" w:rsidP="003E40E3">
            <w:pPr>
              <w:spacing w:after="60" w:line="276" w:lineRule="auto"/>
              <w:jc w:val="left"/>
              <w:rPr>
                <w:rFonts w:ascii="Calibri" w:hAnsi="Calibri" w:cs="Calibri"/>
                <w:b/>
                <w:color w:val="FFFFFF"/>
                <w:sz w:val="22"/>
              </w:rPr>
            </w:pPr>
            <w:r>
              <w:rPr>
                <w:rFonts w:ascii="Calibri" w:hAnsi="Calibri" w:cs="Calibri"/>
                <w:b/>
                <w:color w:val="FFFFFF"/>
                <w:sz w:val="22"/>
              </w:rPr>
              <w:t>Bemærkninger</w:t>
            </w:r>
          </w:p>
          <w:p w:rsidR="00ED0BE5" w:rsidRPr="00C14813" w:rsidRDefault="00ED0BE5" w:rsidP="003E40E3">
            <w:pPr>
              <w:spacing w:after="60" w:line="276" w:lineRule="auto"/>
              <w:jc w:val="left"/>
              <w:rPr>
                <w:rFonts w:ascii="Calibri" w:hAnsi="Calibri" w:cs="Calibri"/>
                <w:b/>
                <w:color w:val="FFFFFF"/>
                <w:sz w:val="22"/>
              </w:rPr>
            </w:pPr>
          </w:p>
        </w:tc>
        <w:tc>
          <w:tcPr>
            <w:tcW w:w="4406" w:type="dxa"/>
            <w:shd w:val="clear" w:color="auto" w:fill="57788E" w:themeFill="accent2"/>
          </w:tcPr>
          <w:p w:rsidR="00ED0BE5" w:rsidRDefault="00ED0BE5" w:rsidP="003E40E3">
            <w:pPr>
              <w:spacing w:after="60" w:line="276" w:lineRule="auto"/>
              <w:jc w:val="left"/>
              <w:rPr>
                <w:rFonts w:ascii="Calibri" w:hAnsi="Calibri" w:cs="Calibri"/>
                <w:b/>
                <w:color w:val="FFFFFF"/>
                <w:sz w:val="22"/>
              </w:rPr>
            </w:pPr>
            <w:r>
              <w:rPr>
                <w:rFonts w:ascii="Calibri" w:hAnsi="Calibri" w:cs="Calibri"/>
                <w:b/>
                <w:color w:val="FFFFFF"/>
                <w:sz w:val="22"/>
              </w:rPr>
              <w:t>Kommentarer</w:t>
            </w:r>
          </w:p>
        </w:tc>
      </w:tr>
      <w:tr w:rsidR="00ED0BE5" w:rsidRPr="00D97706" w:rsidTr="003E40E3">
        <w:trPr>
          <w:trHeight w:val="360"/>
        </w:trPr>
        <w:tc>
          <w:tcPr>
            <w:tcW w:w="1819" w:type="dxa"/>
          </w:tcPr>
          <w:p w:rsidR="00ED0BE5" w:rsidRDefault="00ED0BE5" w:rsidP="003E40E3">
            <w:pPr>
              <w:spacing w:after="60" w:line="276" w:lineRule="auto"/>
              <w:jc w:val="left"/>
              <w:rPr>
                <w:rFonts w:ascii="Calibri" w:hAnsi="Calibri" w:cs="Calibri"/>
                <w:sz w:val="16"/>
                <w:szCs w:val="16"/>
              </w:rPr>
            </w:pPr>
            <w:r>
              <w:rPr>
                <w:rStyle w:val="Pladsholdertekst"/>
                <w:rFonts w:ascii="Calibri" w:hAnsi="Calibri" w:cs="Calibri"/>
                <w:color w:val="auto"/>
                <w:sz w:val="16"/>
                <w:szCs w:val="16"/>
              </w:rPr>
              <w:t>Bech Bruun</w:t>
            </w:r>
          </w:p>
        </w:tc>
        <w:tc>
          <w:tcPr>
            <w:tcW w:w="3536" w:type="dxa"/>
          </w:tcPr>
          <w:p w:rsidR="003E40E3" w:rsidRDefault="00ED0BE5" w:rsidP="003E40E3">
            <w:pPr>
              <w:pStyle w:val="Default"/>
              <w:spacing w:after="60"/>
              <w:jc w:val="both"/>
              <w:rPr>
                <w:rFonts w:asciiTheme="majorHAnsi" w:hAnsiTheme="majorHAnsi" w:cstheme="majorHAnsi"/>
                <w:sz w:val="16"/>
                <w:szCs w:val="16"/>
              </w:rPr>
            </w:pPr>
            <w:r>
              <w:rPr>
                <w:rFonts w:asciiTheme="majorHAnsi" w:hAnsiTheme="majorHAnsi" w:cstheme="majorHAnsi"/>
                <w:sz w:val="16"/>
                <w:szCs w:val="16"/>
              </w:rPr>
              <w:t>Mener, at der mangler en henvisning til SEL § 7, da flere regler i fusionsskatteloven henviser til denne bestemmelse, blandt andet § 15, stk. 2 og 3. Yderligere anføres, at der mangler en præcisering af, at henstandsordningen også omfatter exitb</w:t>
            </w:r>
            <w:r>
              <w:rPr>
                <w:rFonts w:asciiTheme="majorHAnsi" w:hAnsiTheme="majorHAnsi" w:cstheme="majorHAnsi"/>
                <w:sz w:val="16"/>
                <w:szCs w:val="16"/>
              </w:rPr>
              <w:t>e</w:t>
            </w:r>
            <w:r>
              <w:rPr>
                <w:rFonts w:asciiTheme="majorHAnsi" w:hAnsiTheme="majorHAnsi" w:cstheme="majorHAnsi"/>
                <w:sz w:val="16"/>
                <w:szCs w:val="16"/>
              </w:rPr>
              <w:t>skatning udløst af grænseoverskridende omstru</w:t>
            </w:r>
            <w:r>
              <w:rPr>
                <w:rFonts w:asciiTheme="majorHAnsi" w:hAnsiTheme="majorHAnsi" w:cstheme="majorHAnsi"/>
                <w:sz w:val="16"/>
                <w:szCs w:val="16"/>
              </w:rPr>
              <w:t>k</w:t>
            </w:r>
            <w:r>
              <w:rPr>
                <w:rFonts w:asciiTheme="majorHAnsi" w:hAnsiTheme="majorHAnsi" w:cstheme="majorHAnsi"/>
                <w:sz w:val="16"/>
                <w:szCs w:val="16"/>
              </w:rPr>
              <w:t>tureringer efter fusionsskatteloven. Bech Bruun mener, at reglerne fortsat ikke vil være i overen</w:t>
            </w:r>
            <w:r>
              <w:rPr>
                <w:rFonts w:asciiTheme="majorHAnsi" w:hAnsiTheme="majorHAnsi" w:cstheme="majorHAnsi"/>
                <w:sz w:val="16"/>
                <w:szCs w:val="16"/>
              </w:rPr>
              <w:t>s</w:t>
            </w:r>
            <w:r>
              <w:rPr>
                <w:rFonts w:asciiTheme="majorHAnsi" w:hAnsiTheme="majorHAnsi" w:cstheme="majorHAnsi"/>
                <w:sz w:val="16"/>
                <w:szCs w:val="16"/>
              </w:rPr>
              <w:t xml:space="preserve">stemmelse med National Grid Indus dommen og EU-retten i øvrigt, hvis denne henvisning mangler. </w:t>
            </w:r>
          </w:p>
          <w:p w:rsidR="003E40E3" w:rsidRDefault="003E40E3" w:rsidP="003E40E3">
            <w:pPr>
              <w:pStyle w:val="Default"/>
              <w:spacing w:after="60"/>
              <w:jc w:val="both"/>
              <w:rPr>
                <w:rFonts w:asciiTheme="majorHAnsi" w:hAnsiTheme="majorHAnsi" w:cstheme="majorHAnsi"/>
                <w:sz w:val="16"/>
                <w:szCs w:val="16"/>
              </w:rPr>
            </w:pPr>
          </w:p>
          <w:p w:rsidR="00ED0BE5" w:rsidRDefault="00ED0BE5" w:rsidP="003E40E3">
            <w:pPr>
              <w:pStyle w:val="Default"/>
              <w:spacing w:after="60"/>
              <w:jc w:val="both"/>
              <w:rPr>
                <w:rFonts w:asciiTheme="majorHAnsi" w:hAnsiTheme="majorHAnsi" w:cstheme="majorHAnsi"/>
                <w:sz w:val="16"/>
                <w:szCs w:val="16"/>
              </w:rPr>
            </w:pPr>
            <w:r>
              <w:rPr>
                <w:rFonts w:asciiTheme="majorHAnsi" w:hAnsiTheme="majorHAnsi" w:cstheme="majorHAnsi"/>
                <w:sz w:val="16"/>
                <w:szCs w:val="16"/>
              </w:rPr>
              <w:t xml:space="preserve">I forhold til mulighed for tilbagebetaling mener Bech Bruun, at muligheden for ikke at skulle betale renter tilbage fra udflytningstidspunktet til de selskaber, der får tilbagebetaling, er i strid med det EU-retlige effektivitetsprincip. Bech Bruun mener, at Danmark har haft en rentefordel i perioden og derfor må være nærmest til at betale dem tilbage. Konkret foreslås tilbagebetaling af beløbet med tillæg af renter efter rentelovens § 5 (diskontoen + 7 pct.). </w:t>
            </w:r>
          </w:p>
          <w:p w:rsidR="00ED0BE5" w:rsidRDefault="00ED0BE5" w:rsidP="003E40E3">
            <w:pPr>
              <w:pStyle w:val="Default"/>
              <w:spacing w:after="60"/>
              <w:jc w:val="both"/>
              <w:rPr>
                <w:rFonts w:asciiTheme="majorHAnsi" w:hAnsiTheme="majorHAnsi" w:cstheme="majorHAnsi"/>
                <w:sz w:val="16"/>
                <w:szCs w:val="16"/>
              </w:rPr>
            </w:pPr>
          </w:p>
          <w:p w:rsidR="00ED0BE5" w:rsidRDefault="00ED0BE5" w:rsidP="003E40E3">
            <w:pPr>
              <w:pStyle w:val="Default"/>
              <w:spacing w:after="60"/>
              <w:jc w:val="both"/>
              <w:rPr>
                <w:rFonts w:asciiTheme="majorHAnsi" w:hAnsiTheme="majorHAnsi" w:cstheme="majorHAnsi"/>
                <w:sz w:val="16"/>
                <w:szCs w:val="16"/>
              </w:rPr>
            </w:pPr>
          </w:p>
          <w:p w:rsidR="00ED0BE5" w:rsidRDefault="00ED0BE5" w:rsidP="003E40E3">
            <w:pPr>
              <w:spacing w:after="60"/>
              <w:rPr>
                <w:rFonts w:asciiTheme="majorHAnsi" w:hAnsiTheme="majorHAnsi" w:cstheme="majorHAnsi"/>
                <w:sz w:val="16"/>
                <w:szCs w:val="16"/>
              </w:rPr>
            </w:pPr>
          </w:p>
          <w:p w:rsidR="00ED0BE5" w:rsidRDefault="00ED0BE5" w:rsidP="003E40E3">
            <w:pPr>
              <w:spacing w:after="60"/>
              <w:rPr>
                <w:rFonts w:asciiTheme="majorHAnsi" w:hAnsiTheme="majorHAnsi" w:cstheme="majorHAnsi"/>
                <w:sz w:val="16"/>
                <w:szCs w:val="16"/>
              </w:rPr>
            </w:pPr>
          </w:p>
          <w:p w:rsidR="00ED0BE5" w:rsidRDefault="00ED0BE5" w:rsidP="003E40E3">
            <w:pPr>
              <w:spacing w:after="60"/>
              <w:rPr>
                <w:rFonts w:asciiTheme="majorHAnsi" w:hAnsiTheme="majorHAnsi" w:cstheme="majorHAnsi"/>
                <w:sz w:val="16"/>
                <w:szCs w:val="16"/>
              </w:rPr>
            </w:pPr>
          </w:p>
          <w:p w:rsidR="00ED0BE5" w:rsidRDefault="00ED0BE5" w:rsidP="003E40E3">
            <w:pPr>
              <w:spacing w:after="60"/>
              <w:rPr>
                <w:rFonts w:asciiTheme="majorHAnsi" w:hAnsiTheme="majorHAnsi" w:cstheme="majorHAnsi"/>
                <w:sz w:val="16"/>
                <w:szCs w:val="16"/>
              </w:rPr>
            </w:pPr>
          </w:p>
          <w:p w:rsidR="00ED0BE5" w:rsidRDefault="00ED0BE5" w:rsidP="003E40E3">
            <w:pPr>
              <w:spacing w:after="60"/>
              <w:rPr>
                <w:rFonts w:asciiTheme="majorHAnsi" w:hAnsiTheme="majorHAnsi" w:cstheme="majorHAnsi"/>
                <w:sz w:val="16"/>
                <w:szCs w:val="16"/>
              </w:rPr>
            </w:pPr>
          </w:p>
          <w:p w:rsidR="00ED0BE5" w:rsidRDefault="00ED0BE5" w:rsidP="003E40E3">
            <w:pPr>
              <w:spacing w:after="60"/>
              <w:rPr>
                <w:rFonts w:asciiTheme="majorHAnsi" w:hAnsiTheme="majorHAnsi" w:cstheme="majorHAnsi"/>
                <w:sz w:val="16"/>
                <w:szCs w:val="16"/>
              </w:rPr>
            </w:pPr>
          </w:p>
          <w:p w:rsidR="003E40E3" w:rsidRDefault="003E40E3" w:rsidP="003E40E3">
            <w:pPr>
              <w:spacing w:after="60"/>
              <w:rPr>
                <w:rFonts w:asciiTheme="majorHAnsi" w:hAnsiTheme="majorHAnsi" w:cstheme="majorHAnsi"/>
                <w:sz w:val="16"/>
                <w:szCs w:val="16"/>
              </w:rPr>
            </w:pPr>
          </w:p>
          <w:p w:rsidR="003E40E3" w:rsidRDefault="003E40E3" w:rsidP="003E40E3">
            <w:pPr>
              <w:spacing w:after="60"/>
              <w:rPr>
                <w:rFonts w:asciiTheme="majorHAnsi" w:hAnsiTheme="majorHAnsi" w:cstheme="majorHAnsi"/>
                <w:sz w:val="16"/>
                <w:szCs w:val="16"/>
              </w:rPr>
            </w:pPr>
          </w:p>
          <w:p w:rsidR="00ED0BE5" w:rsidRDefault="00ED0BE5" w:rsidP="003E40E3">
            <w:pPr>
              <w:spacing w:after="60"/>
              <w:rPr>
                <w:rFonts w:asciiTheme="majorHAnsi" w:hAnsiTheme="majorHAnsi" w:cstheme="majorHAnsi"/>
                <w:sz w:val="16"/>
                <w:szCs w:val="16"/>
              </w:rPr>
            </w:pPr>
          </w:p>
          <w:p w:rsidR="00ED0BE5" w:rsidRDefault="00ED0BE5" w:rsidP="003E40E3">
            <w:pPr>
              <w:spacing w:after="60"/>
              <w:rPr>
                <w:rFonts w:ascii="Calibri" w:hAnsi="Calibri" w:cs="Calibri"/>
                <w:sz w:val="16"/>
                <w:szCs w:val="16"/>
              </w:rPr>
            </w:pPr>
            <w:r>
              <w:rPr>
                <w:rFonts w:asciiTheme="majorHAnsi" w:hAnsiTheme="majorHAnsi" w:cstheme="majorHAnsi"/>
                <w:sz w:val="16"/>
                <w:szCs w:val="16"/>
              </w:rPr>
              <w:t>Reglerne bør ifølge Bech Bruun desuden omfatte en henstandsordning for exitskat beregnet efter virksomhedsskattelovens § 15 C, hvor en person, som er omfattet af virksomhedsskatteordningen, ophører med at være skattepligtig til Danmark uden samtidig at etablere et fast driftssted her. Og efter kildeskattelovens § 8 A, hvor erhvervsmæ</w:t>
            </w:r>
            <w:r>
              <w:rPr>
                <w:rFonts w:asciiTheme="majorHAnsi" w:hAnsiTheme="majorHAnsi" w:cstheme="majorHAnsi"/>
                <w:sz w:val="16"/>
                <w:szCs w:val="16"/>
              </w:rPr>
              <w:t>s</w:t>
            </w:r>
            <w:r>
              <w:rPr>
                <w:rFonts w:asciiTheme="majorHAnsi" w:hAnsiTheme="majorHAnsi" w:cstheme="majorHAnsi"/>
                <w:sz w:val="16"/>
                <w:szCs w:val="16"/>
              </w:rPr>
              <w:t>sigt benyttede aktiver flyttes ud til benyttelse i udlandet, og endelig exitskat beregnet efter kild</w:t>
            </w:r>
            <w:r>
              <w:rPr>
                <w:rFonts w:asciiTheme="majorHAnsi" w:hAnsiTheme="majorHAnsi" w:cstheme="majorHAnsi"/>
                <w:sz w:val="16"/>
                <w:szCs w:val="16"/>
              </w:rPr>
              <w:t>e</w:t>
            </w:r>
            <w:r>
              <w:rPr>
                <w:rFonts w:asciiTheme="majorHAnsi" w:hAnsiTheme="majorHAnsi" w:cstheme="majorHAnsi"/>
                <w:sz w:val="16"/>
                <w:szCs w:val="16"/>
              </w:rPr>
              <w:t>skattelovens § 10 om genvundne afskrivninger på aktiver, der i forbindelse med en persons frafly</w:t>
            </w:r>
            <w:r>
              <w:rPr>
                <w:rFonts w:asciiTheme="majorHAnsi" w:hAnsiTheme="majorHAnsi" w:cstheme="majorHAnsi"/>
                <w:sz w:val="16"/>
                <w:szCs w:val="16"/>
              </w:rPr>
              <w:t>t</w:t>
            </w:r>
            <w:r>
              <w:rPr>
                <w:rFonts w:asciiTheme="majorHAnsi" w:hAnsiTheme="majorHAnsi" w:cstheme="majorHAnsi"/>
                <w:sz w:val="16"/>
                <w:szCs w:val="16"/>
              </w:rPr>
              <w:t>ning udgår af dansk beskatningskompetence.</w:t>
            </w:r>
          </w:p>
        </w:tc>
        <w:tc>
          <w:tcPr>
            <w:tcW w:w="4406" w:type="dxa"/>
          </w:tcPr>
          <w:p w:rsidR="00ED0BE5" w:rsidRDefault="00ED0BE5" w:rsidP="003E40E3">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 xml:space="preserve">Den omtalte bestemmelse i selskabsskattelovens § 7 er ikke en beskatningshjemmel, men vedrører alene den tidsmæssige periode af skattepligten for selskaber, der ophører med at drive skattepligtig virksomhed her i landet.  Bestemmelsen vedrører med andre ord ikke exitbeskatning. I forhold til exitbeskatning udløst af grænseoverskridende </w:t>
            </w:r>
            <w:r w:rsidR="00D40120">
              <w:rPr>
                <w:rStyle w:val="Pladsholdertekst"/>
                <w:rFonts w:ascii="Calibri" w:hAnsi="Calibri" w:cs="Calibri"/>
                <w:color w:val="000000" w:themeColor="text1"/>
                <w:sz w:val="16"/>
                <w:szCs w:val="16"/>
              </w:rPr>
              <w:t xml:space="preserve">skattefrie </w:t>
            </w:r>
            <w:r>
              <w:rPr>
                <w:rStyle w:val="Pladsholdertekst"/>
                <w:rFonts w:ascii="Calibri" w:hAnsi="Calibri" w:cs="Calibri"/>
                <w:color w:val="000000" w:themeColor="text1"/>
                <w:sz w:val="16"/>
                <w:szCs w:val="16"/>
              </w:rPr>
              <w:t>omstruktureringer, er disse situationer allerede omfattet af den foreslåede beste</w:t>
            </w:r>
            <w:r>
              <w:rPr>
                <w:rStyle w:val="Pladsholdertekst"/>
                <w:rFonts w:ascii="Calibri" w:hAnsi="Calibri" w:cs="Calibri"/>
                <w:color w:val="000000" w:themeColor="text1"/>
                <w:sz w:val="16"/>
                <w:szCs w:val="16"/>
              </w:rPr>
              <w:t>m</w:t>
            </w:r>
            <w:r>
              <w:rPr>
                <w:rStyle w:val="Pladsholdertekst"/>
                <w:rFonts w:ascii="Calibri" w:hAnsi="Calibri" w:cs="Calibri"/>
                <w:color w:val="000000" w:themeColor="text1"/>
                <w:sz w:val="16"/>
                <w:szCs w:val="16"/>
              </w:rPr>
              <w:t xml:space="preserve">melse i § 26, stk. 1, og der findes ikke at være anledning til at præcisere det yderligere. </w:t>
            </w:r>
          </w:p>
          <w:p w:rsidR="00ED0BE5" w:rsidRDefault="00ED0BE5" w:rsidP="003E40E3">
            <w:pPr>
              <w:spacing w:after="60"/>
              <w:rPr>
                <w:rStyle w:val="Pladsholdertekst"/>
                <w:rFonts w:ascii="Calibri" w:hAnsi="Calibri" w:cs="Calibri"/>
                <w:color w:val="000000" w:themeColor="text1"/>
                <w:sz w:val="16"/>
                <w:szCs w:val="16"/>
              </w:rPr>
            </w:pPr>
          </w:p>
          <w:p w:rsidR="003E40E3" w:rsidRDefault="003E40E3" w:rsidP="003E40E3">
            <w:pPr>
              <w:spacing w:after="60"/>
              <w:rPr>
                <w:rStyle w:val="Pladsholdertekst"/>
                <w:rFonts w:ascii="Calibri" w:hAnsi="Calibri" w:cs="Calibri"/>
                <w:color w:val="000000" w:themeColor="text1"/>
                <w:sz w:val="16"/>
                <w:szCs w:val="16"/>
              </w:rPr>
            </w:pPr>
          </w:p>
          <w:p w:rsidR="00ED0BE5" w:rsidRDefault="00ED0BE5" w:rsidP="003E40E3">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I forhold til argumentet om, at det er i strid med det EU-retlige effektivitetsprincip ikke at tilbagebetale den opkrævede exitskat med renter, findes dette ikke at være tilfældet. Det er korrekt, at staten ved en skatteopkrævning, der efterfølgende viser sig at være i strid med EU-retten har pligt til at tilbagebetale ikke alene det uretmæssigt opkrævede beløb, men også en rente til kompensation for, at pengebeløbet ikke har været til rådighed som følge af forskudsskatten. I disse tilfælde er det op til me</w:t>
            </w:r>
            <w:r>
              <w:rPr>
                <w:rStyle w:val="Pladsholdertekst"/>
                <w:rFonts w:ascii="Calibri" w:hAnsi="Calibri" w:cs="Calibri"/>
                <w:color w:val="000000" w:themeColor="text1"/>
                <w:sz w:val="16"/>
                <w:szCs w:val="16"/>
              </w:rPr>
              <w:t>d</w:t>
            </w:r>
            <w:r>
              <w:rPr>
                <w:rStyle w:val="Pladsholdertekst"/>
                <w:rFonts w:ascii="Calibri" w:hAnsi="Calibri" w:cs="Calibri"/>
                <w:color w:val="000000" w:themeColor="text1"/>
                <w:sz w:val="16"/>
                <w:szCs w:val="16"/>
              </w:rPr>
              <w:t>lemsstaterne selv at vurdere rentens størrelse, så længe den er i overensstemmelse med effektivitetsprincippet og lighedspri</w:t>
            </w:r>
            <w:r>
              <w:rPr>
                <w:rStyle w:val="Pladsholdertekst"/>
                <w:rFonts w:ascii="Calibri" w:hAnsi="Calibri" w:cs="Calibri"/>
                <w:color w:val="000000" w:themeColor="text1"/>
                <w:sz w:val="16"/>
                <w:szCs w:val="16"/>
              </w:rPr>
              <w:t>n</w:t>
            </w:r>
            <w:r>
              <w:rPr>
                <w:rStyle w:val="Pladsholdertekst"/>
                <w:rFonts w:ascii="Calibri" w:hAnsi="Calibri" w:cs="Calibri"/>
                <w:color w:val="000000" w:themeColor="text1"/>
                <w:sz w:val="16"/>
                <w:szCs w:val="16"/>
              </w:rPr>
              <w:t>cippet.  I forbindelse med exitskatten har EU-domstolen imidle</w:t>
            </w:r>
            <w:r>
              <w:rPr>
                <w:rStyle w:val="Pladsholdertekst"/>
                <w:rFonts w:ascii="Calibri" w:hAnsi="Calibri" w:cs="Calibri"/>
                <w:color w:val="000000" w:themeColor="text1"/>
                <w:sz w:val="16"/>
                <w:szCs w:val="16"/>
              </w:rPr>
              <w:t>r</w:t>
            </w:r>
            <w:r>
              <w:rPr>
                <w:rStyle w:val="Pladsholdertekst"/>
                <w:rFonts w:ascii="Calibri" w:hAnsi="Calibri" w:cs="Calibri"/>
                <w:color w:val="000000" w:themeColor="text1"/>
                <w:sz w:val="16"/>
                <w:szCs w:val="16"/>
              </w:rPr>
              <w:t>tid netop statueret, at selve opkrævningen af en exitskat ikke strider mod EU-retten, men at en opkrævning straks ved udfly</w:t>
            </w:r>
            <w:r>
              <w:rPr>
                <w:rStyle w:val="Pladsholdertekst"/>
                <w:rFonts w:ascii="Calibri" w:hAnsi="Calibri" w:cs="Calibri"/>
                <w:color w:val="000000" w:themeColor="text1"/>
                <w:sz w:val="16"/>
                <w:szCs w:val="16"/>
              </w:rPr>
              <w:t>t</w:t>
            </w:r>
            <w:r>
              <w:rPr>
                <w:rStyle w:val="Pladsholdertekst"/>
                <w:rFonts w:ascii="Calibri" w:hAnsi="Calibri" w:cs="Calibri"/>
                <w:color w:val="000000" w:themeColor="text1"/>
                <w:sz w:val="16"/>
                <w:szCs w:val="16"/>
              </w:rPr>
              <w:t>ning ikke anses for at være proportional. Der er med andre ord ikke tale om en ulovligt opkrævet skat, som skal tilbagebetales, men derimod om en rettelig opkrævet skat, som der efter de nye regler skal tilbydes en henstandsordning med. Hertil ko</w:t>
            </w:r>
            <w:r>
              <w:rPr>
                <w:rStyle w:val="Pladsholdertekst"/>
                <w:rFonts w:ascii="Calibri" w:hAnsi="Calibri" w:cs="Calibri"/>
                <w:color w:val="000000" w:themeColor="text1"/>
                <w:sz w:val="16"/>
                <w:szCs w:val="16"/>
              </w:rPr>
              <w:t>m</w:t>
            </w:r>
            <w:r>
              <w:rPr>
                <w:rStyle w:val="Pladsholdertekst"/>
                <w:rFonts w:ascii="Calibri" w:hAnsi="Calibri" w:cs="Calibri"/>
                <w:color w:val="000000" w:themeColor="text1"/>
                <w:sz w:val="16"/>
                <w:szCs w:val="16"/>
              </w:rPr>
              <w:t>mer, at såfremt skatteyderen havde haft muligheden for he</w:t>
            </w:r>
            <w:r>
              <w:rPr>
                <w:rStyle w:val="Pladsholdertekst"/>
                <w:rFonts w:ascii="Calibri" w:hAnsi="Calibri" w:cs="Calibri"/>
                <w:color w:val="000000" w:themeColor="text1"/>
                <w:sz w:val="16"/>
                <w:szCs w:val="16"/>
              </w:rPr>
              <w:t>n</w:t>
            </w:r>
            <w:r>
              <w:rPr>
                <w:rStyle w:val="Pladsholdertekst"/>
                <w:rFonts w:ascii="Calibri" w:hAnsi="Calibri" w:cs="Calibri"/>
                <w:color w:val="000000" w:themeColor="text1"/>
                <w:sz w:val="16"/>
                <w:szCs w:val="16"/>
              </w:rPr>
              <w:t xml:space="preserve">standsordningen tidligere, skulle vedkommende desuden have betalt renter allerede fra dette tidspunkt. Ved tilbuddet om tilbagebetaling og henstandsordning på nuværende tidspunkt opkræves heller ikke renter svarende til henstandsperioden bagud i tid. </w:t>
            </w:r>
          </w:p>
          <w:p w:rsidR="00ED0BE5" w:rsidRDefault="00ED0BE5" w:rsidP="003E40E3">
            <w:pPr>
              <w:spacing w:after="60"/>
              <w:rPr>
                <w:rStyle w:val="Pladsholdertekst"/>
                <w:rFonts w:ascii="Calibri" w:hAnsi="Calibri" w:cs="Calibri"/>
                <w:color w:val="000000" w:themeColor="text1"/>
                <w:sz w:val="16"/>
                <w:szCs w:val="16"/>
              </w:rPr>
            </w:pPr>
          </w:p>
          <w:p w:rsidR="00ED0BE5" w:rsidRPr="00D97706" w:rsidRDefault="00ED0BE5" w:rsidP="003E40E3">
            <w:pPr>
              <w:spacing w:after="60"/>
              <w:rPr>
                <w:rFonts w:ascii="Calibri" w:hAnsi="Calibri" w:cs="Calibri"/>
                <w:sz w:val="16"/>
                <w:szCs w:val="16"/>
              </w:rPr>
            </w:pPr>
            <w:r>
              <w:rPr>
                <w:rStyle w:val="Pladsholdertekst"/>
                <w:rFonts w:ascii="Calibri" w:hAnsi="Calibri" w:cs="Calibri"/>
                <w:color w:val="000000" w:themeColor="text1"/>
                <w:sz w:val="16"/>
                <w:szCs w:val="16"/>
              </w:rPr>
              <w:t>I forhold til en henstandsordning med exitbeskatning for pers</w:t>
            </w:r>
            <w:r>
              <w:rPr>
                <w:rStyle w:val="Pladsholdertekst"/>
                <w:rFonts w:ascii="Calibri" w:hAnsi="Calibri" w:cs="Calibri"/>
                <w:color w:val="000000" w:themeColor="text1"/>
                <w:sz w:val="16"/>
                <w:szCs w:val="16"/>
              </w:rPr>
              <w:t>o</w:t>
            </w:r>
            <w:r>
              <w:rPr>
                <w:rStyle w:val="Pladsholdertekst"/>
                <w:rFonts w:ascii="Calibri" w:hAnsi="Calibri" w:cs="Calibri"/>
                <w:color w:val="000000" w:themeColor="text1"/>
                <w:sz w:val="16"/>
                <w:szCs w:val="16"/>
              </w:rPr>
              <w:t>ner omfattet af kildeskattelovens § 8 A og virksomhedsskattel</w:t>
            </w:r>
            <w:r>
              <w:rPr>
                <w:rStyle w:val="Pladsholdertekst"/>
                <w:rFonts w:ascii="Calibri" w:hAnsi="Calibri" w:cs="Calibri"/>
                <w:color w:val="000000" w:themeColor="text1"/>
                <w:sz w:val="16"/>
                <w:szCs w:val="16"/>
              </w:rPr>
              <w:t>o</w:t>
            </w:r>
            <w:r>
              <w:rPr>
                <w:rStyle w:val="Pladsholdertekst"/>
                <w:rFonts w:ascii="Calibri" w:hAnsi="Calibri" w:cs="Calibri"/>
                <w:color w:val="000000" w:themeColor="text1"/>
                <w:sz w:val="16"/>
                <w:szCs w:val="16"/>
              </w:rPr>
              <w:t xml:space="preserve">vens § 15 C, er Skatteministeriet enig i, at en sådan ordning er relevant. Der er dog tale om komplicerede regler, som kræver grundige undersøgelser og overvejelser, og da der er behov for opfølgning på EU-dommen straks, er denne del ikke omfattet af lovforslaget. Skatteministeriet vil ved først </w:t>
            </w:r>
            <w:proofErr w:type="gramStart"/>
            <w:r>
              <w:rPr>
                <w:rStyle w:val="Pladsholdertekst"/>
                <w:rFonts w:ascii="Calibri" w:hAnsi="Calibri" w:cs="Calibri"/>
                <w:color w:val="000000" w:themeColor="text1"/>
                <w:sz w:val="16"/>
                <w:szCs w:val="16"/>
              </w:rPr>
              <w:t>givne</w:t>
            </w:r>
            <w:proofErr w:type="gramEnd"/>
            <w:r>
              <w:rPr>
                <w:rStyle w:val="Pladsholdertekst"/>
                <w:rFonts w:ascii="Calibri" w:hAnsi="Calibri" w:cs="Calibri"/>
                <w:color w:val="000000" w:themeColor="text1"/>
                <w:sz w:val="16"/>
                <w:szCs w:val="16"/>
              </w:rPr>
              <w:t xml:space="preserve"> lejlighed se på mulighederne for at indføre en henstandsordning for selvstæ</w:t>
            </w:r>
            <w:r>
              <w:rPr>
                <w:rStyle w:val="Pladsholdertekst"/>
                <w:rFonts w:ascii="Calibri" w:hAnsi="Calibri" w:cs="Calibri"/>
                <w:color w:val="000000" w:themeColor="text1"/>
                <w:sz w:val="16"/>
                <w:szCs w:val="16"/>
              </w:rPr>
              <w:t>n</w:t>
            </w:r>
            <w:r>
              <w:rPr>
                <w:rStyle w:val="Pladsholdertekst"/>
                <w:rFonts w:ascii="Calibri" w:hAnsi="Calibri" w:cs="Calibri"/>
                <w:color w:val="000000" w:themeColor="text1"/>
                <w:sz w:val="16"/>
                <w:szCs w:val="16"/>
              </w:rPr>
              <w:t xml:space="preserve">digt erhvervsdrivende. </w:t>
            </w:r>
            <w:r>
              <w:t>   </w:t>
            </w:r>
          </w:p>
        </w:tc>
      </w:tr>
      <w:tr w:rsidR="00ED0BE5" w:rsidRPr="00D97706" w:rsidTr="003E40E3">
        <w:trPr>
          <w:trHeight w:val="360"/>
        </w:trPr>
        <w:tc>
          <w:tcPr>
            <w:tcW w:w="1819" w:type="dxa"/>
          </w:tcPr>
          <w:p w:rsidR="00ED0BE5" w:rsidRDefault="00ED0BE5" w:rsidP="003E40E3">
            <w:pPr>
              <w:spacing w:after="60" w:line="276" w:lineRule="auto"/>
              <w:jc w:val="left"/>
              <w:rPr>
                <w:rFonts w:ascii="Calibri" w:hAnsi="Calibri" w:cs="Calibri"/>
                <w:sz w:val="16"/>
                <w:szCs w:val="16"/>
              </w:rPr>
            </w:pPr>
            <w:r>
              <w:rPr>
                <w:rFonts w:ascii="Calibri" w:hAnsi="Calibri" w:cs="Calibri"/>
                <w:sz w:val="16"/>
                <w:szCs w:val="16"/>
              </w:rPr>
              <w:t>Dansk Aktionærforening</w:t>
            </w:r>
          </w:p>
        </w:tc>
        <w:tc>
          <w:tcPr>
            <w:tcW w:w="3536" w:type="dxa"/>
          </w:tcPr>
          <w:p w:rsidR="00ED0BE5" w:rsidRPr="00D97706" w:rsidRDefault="00ED0BE5" w:rsidP="003E40E3">
            <w:pPr>
              <w:spacing w:after="60" w:line="276" w:lineRule="auto"/>
              <w:jc w:val="left"/>
              <w:rPr>
                <w:rFonts w:ascii="Calibri" w:hAnsi="Calibri" w:cs="Calibri"/>
                <w:sz w:val="16"/>
                <w:szCs w:val="16"/>
              </w:rPr>
            </w:pPr>
            <w:r>
              <w:rPr>
                <w:rFonts w:ascii="Calibri" w:hAnsi="Calibri" w:cs="Calibri"/>
                <w:sz w:val="16"/>
                <w:szCs w:val="16"/>
              </w:rPr>
              <w:t>Ingen bemærkninger</w:t>
            </w:r>
          </w:p>
        </w:tc>
        <w:tc>
          <w:tcPr>
            <w:tcW w:w="4406" w:type="dxa"/>
            <w:vAlign w:val="center"/>
          </w:tcPr>
          <w:p w:rsidR="00ED0BE5" w:rsidRPr="00D97706" w:rsidRDefault="00ED0BE5" w:rsidP="003E40E3">
            <w:pPr>
              <w:spacing w:after="60" w:line="276" w:lineRule="auto"/>
              <w:jc w:val="left"/>
              <w:rPr>
                <w:rFonts w:ascii="Calibri" w:hAnsi="Calibri" w:cs="Calibri"/>
                <w:sz w:val="16"/>
                <w:szCs w:val="16"/>
              </w:rPr>
            </w:pPr>
          </w:p>
        </w:tc>
      </w:tr>
      <w:tr w:rsidR="00ED0BE5" w:rsidRPr="00D97706" w:rsidTr="003E40E3">
        <w:trPr>
          <w:trHeight w:val="360"/>
        </w:trPr>
        <w:tc>
          <w:tcPr>
            <w:tcW w:w="1819" w:type="dxa"/>
          </w:tcPr>
          <w:p w:rsidR="00ED0BE5" w:rsidRDefault="00ED0BE5" w:rsidP="003E40E3">
            <w:pPr>
              <w:spacing w:after="60" w:line="276" w:lineRule="auto"/>
              <w:jc w:val="left"/>
              <w:rPr>
                <w:rFonts w:ascii="Calibri" w:hAnsi="Calibri" w:cs="Calibri"/>
                <w:sz w:val="16"/>
                <w:szCs w:val="16"/>
              </w:rPr>
            </w:pPr>
            <w:r>
              <w:rPr>
                <w:rStyle w:val="Pladsholdertekst"/>
                <w:rFonts w:ascii="Calibri" w:hAnsi="Calibri" w:cs="Calibri"/>
                <w:color w:val="auto"/>
                <w:sz w:val="16"/>
                <w:szCs w:val="16"/>
              </w:rPr>
              <w:t>Danske Advokater og Advokatrådet</w:t>
            </w:r>
          </w:p>
        </w:tc>
        <w:tc>
          <w:tcPr>
            <w:tcW w:w="3536" w:type="dxa"/>
            <w:vAlign w:val="center"/>
          </w:tcPr>
          <w:p w:rsidR="00ED0BE5" w:rsidRDefault="00ED0BE5" w:rsidP="003E40E3">
            <w:pPr>
              <w:pStyle w:val="Default"/>
              <w:spacing w:after="60"/>
              <w:jc w:val="both"/>
              <w:rPr>
                <w:rFonts w:asciiTheme="majorHAnsi" w:hAnsiTheme="majorHAnsi" w:cstheme="majorHAnsi"/>
                <w:sz w:val="16"/>
                <w:szCs w:val="16"/>
              </w:rPr>
            </w:pPr>
            <w:r>
              <w:rPr>
                <w:rFonts w:asciiTheme="majorHAnsi" w:hAnsiTheme="majorHAnsi" w:cstheme="majorHAnsi"/>
                <w:sz w:val="16"/>
                <w:szCs w:val="16"/>
              </w:rPr>
              <w:t>Mener, at kriteriet med, at henstandsbeløbet skal afdrages i takt med, at aktivet oppebærer indtægt, ikke er sammenhængende med formålet, og at ordningen vil være særdeles tung rent administr</w:t>
            </w:r>
            <w:r>
              <w:rPr>
                <w:rFonts w:asciiTheme="majorHAnsi" w:hAnsiTheme="majorHAnsi" w:cstheme="majorHAnsi"/>
                <w:sz w:val="16"/>
                <w:szCs w:val="16"/>
              </w:rPr>
              <w:t>a</w:t>
            </w:r>
            <w:r>
              <w:rPr>
                <w:rFonts w:asciiTheme="majorHAnsi" w:hAnsiTheme="majorHAnsi" w:cstheme="majorHAnsi"/>
                <w:sz w:val="16"/>
                <w:szCs w:val="16"/>
              </w:rPr>
              <w:t>tivt set. Selve kriterierne for opgørelsen anses for at være uklare og indebærer risiko for tvister efterfølgende. Danske Advokater og Advokatrådet (DA) påpeger, at det ikke fremgår af bemærkni</w:t>
            </w:r>
            <w:r>
              <w:rPr>
                <w:rFonts w:asciiTheme="majorHAnsi" w:hAnsiTheme="majorHAnsi" w:cstheme="majorHAnsi"/>
                <w:sz w:val="16"/>
                <w:szCs w:val="16"/>
              </w:rPr>
              <w:t>n</w:t>
            </w:r>
            <w:r>
              <w:rPr>
                <w:rFonts w:asciiTheme="majorHAnsi" w:hAnsiTheme="majorHAnsi" w:cstheme="majorHAnsi"/>
                <w:sz w:val="16"/>
                <w:szCs w:val="16"/>
              </w:rPr>
              <w:t>gerne, hvilket dokumentationskrav SKAT kan stille til indkomstopgørelsen i forbindelse med he</w:t>
            </w:r>
            <w:r>
              <w:rPr>
                <w:rFonts w:asciiTheme="majorHAnsi" w:hAnsiTheme="majorHAnsi" w:cstheme="majorHAnsi"/>
                <w:sz w:val="16"/>
                <w:szCs w:val="16"/>
              </w:rPr>
              <w:t>n</w:t>
            </w:r>
            <w:r>
              <w:rPr>
                <w:rFonts w:asciiTheme="majorHAnsi" w:hAnsiTheme="majorHAnsi" w:cstheme="majorHAnsi"/>
                <w:sz w:val="16"/>
                <w:szCs w:val="16"/>
              </w:rPr>
              <w:t>standsordningen. DA mener derfor, at kriteriet om, at afdragene skal være baseret på den løbe</w:t>
            </w:r>
            <w:r>
              <w:rPr>
                <w:rFonts w:asciiTheme="majorHAnsi" w:hAnsiTheme="majorHAnsi" w:cstheme="majorHAnsi"/>
                <w:sz w:val="16"/>
                <w:szCs w:val="16"/>
              </w:rPr>
              <w:t>n</w:t>
            </w:r>
            <w:r>
              <w:rPr>
                <w:rFonts w:asciiTheme="majorHAnsi" w:hAnsiTheme="majorHAnsi" w:cstheme="majorHAnsi"/>
                <w:sz w:val="16"/>
                <w:szCs w:val="16"/>
              </w:rPr>
              <w:t xml:space="preserve">de indtægt på aktivet bør udgå. </w:t>
            </w:r>
          </w:p>
          <w:p w:rsidR="00ED0BE5" w:rsidRDefault="00ED0BE5" w:rsidP="003E40E3">
            <w:pPr>
              <w:spacing w:after="60"/>
              <w:rPr>
                <w:rFonts w:ascii="Calibri" w:hAnsi="Calibri" w:cs="Calibri"/>
                <w:sz w:val="16"/>
                <w:szCs w:val="16"/>
              </w:rPr>
            </w:pPr>
            <w:r>
              <w:rPr>
                <w:rFonts w:asciiTheme="majorHAnsi" w:hAnsiTheme="majorHAnsi" w:cstheme="majorHAnsi"/>
                <w:sz w:val="16"/>
                <w:szCs w:val="16"/>
              </w:rPr>
              <w:t xml:space="preserve">DA mener ikke at kunne konkludere, hvorvidt </w:t>
            </w:r>
            <w:r>
              <w:rPr>
                <w:rFonts w:asciiTheme="majorHAnsi" w:hAnsiTheme="majorHAnsi" w:cstheme="majorHAnsi"/>
                <w:sz w:val="16"/>
                <w:szCs w:val="16"/>
              </w:rPr>
              <w:lastRenderedPageBreak/>
              <w:t>kriteriet med minimumsafdrag på 1/7 er i overen</w:t>
            </w:r>
            <w:r>
              <w:rPr>
                <w:rFonts w:asciiTheme="majorHAnsi" w:hAnsiTheme="majorHAnsi" w:cstheme="majorHAnsi"/>
                <w:sz w:val="16"/>
                <w:szCs w:val="16"/>
              </w:rPr>
              <w:t>s</w:t>
            </w:r>
            <w:r>
              <w:rPr>
                <w:rFonts w:asciiTheme="majorHAnsi" w:hAnsiTheme="majorHAnsi" w:cstheme="majorHAnsi"/>
                <w:sz w:val="16"/>
                <w:szCs w:val="16"/>
              </w:rPr>
              <w:t>stemmelse med det EU-retlige proportionalitet</w:t>
            </w:r>
            <w:r>
              <w:rPr>
                <w:rFonts w:asciiTheme="majorHAnsi" w:hAnsiTheme="majorHAnsi" w:cstheme="majorHAnsi"/>
                <w:sz w:val="16"/>
                <w:szCs w:val="16"/>
              </w:rPr>
              <w:t>s</w:t>
            </w:r>
            <w:r>
              <w:rPr>
                <w:rFonts w:asciiTheme="majorHAnsi" w:hAnsiTheme="majorHAnsi" w:cstheme="majorHAnsi"/>
                <w:sz w:val="16"/>
                <w:szCs w:val="16"/>
              </w:rPr>
              <w:t>krav og foreslår derfor Skatteministeriet at komme med en udførlig redegørelse for, hvorfor det er i overensstemmelse hermed.</w:t>
            </w:r>
          </w:p>
        </w:tc>
        <w:tc>
          <w:tcPr>
            <w:tcW w:w="4406" w:type="dxa"/>
          </w:tcPr>
          <w:p w:rsidR="00ED0BE5" w:rsidRPr="00D97706" w:rsidRDefault="00ED0BE5" w:rsidP="003E40E3">
            <w:pPr>
              <w:spacing w:after="60"/>
              <w:rPr>
                <w:rFonts w:ascii="Calibri" w:hAnsi="Calibri" w:cs="Calibri"/>
                <w:sz w:val="16"/>
                <w:szCs w:val="16"/>
              </w:rPr>
            </w:pPr>
            <w:r>
              <w:rPr>
                <w:rStyle w:val="Pladsholdertekst"/>
                <w:rFonts w:ascii="Calibri" w:hAnsi="Calibri" w:cs="Calibri"/>
                <w:color w:val="000000" w:themeColor="text1"/>
                <w:sz w:val="16"/>
                <w:szCs w:val="16"/>
              </w:rPr>
              <w:lastRenderedPageBreak/>
              <w:t xml:space="preserve">Der henvises til </w:t>
            </w:r>
            <w:r w:rsidR="003E40E3">
              <w:rPr>
                <w:rStyle w:val="Pladsholdertekst"/>
                <w:rFonts w:ascii="Calibri" w:hAnsi="Calibri" w:cs="Calibri"/>
                <w:color w:val="000000" w:themeColor="text1"/>
                <w:sz w:val="16"/>
                <w:szCs w:val="16"/>
              </w:rPr>
              <w:t>kommentaren til henvendelsen fra</w:t>
            </w:r>
            <w:r>
              <w:rPr>
                <w:rStyle w:val="Pladsholdertekst"/>
                <w:rFonts w:ascii="Calibri" w:hAnsi="Calibri" w:cs="Calibri"/>
                <w:color w:val="000000" w:themeColor="text1"/>
                <w:sz w:val="16"/>
                <w:szCs w:val="16"/>
              </w:rPr>
              <w:t xml:space="preserve"> til Dansk Erhverv både for så vidt angår de administrative byrder, dok</w:t>
            </w:r>
            <w:r>
              <w:rPr>
                <w:rStyle w:val="Pladsholdertekst"/>
                <w:rFonts w:ascii="Calibri" w:hAnsi="Calibri" w:cs="Calibri"/>
                <w:color w:val="000000" w:themeColor="text1"/>
                <w:sz w:val="16"/>
                <w:szCs w:val="16"/>
              </w:rPr>
              <w:t>u</w:t>
            </w:r>
            <w:r>
              <w:rPr>
                <w:rStyle w:val="Pladsholdertekst"/>
                <w:rFonts w:ascii="Calibri" w:hAnsi="Calibri" w:cs="Calibri"/>
                <w:color w:val="000000" w:themeColor="text1"/>
                <w:sz w:val="16"/>
                <w:szCs w:val="16"/>
              </w:rPr>
              <w:t>mentationskravet og den tidsmæssige udstrækning af he</w:t>
            </w:r>
            <w:r>
              <w:rPr>
                <w:rStyle w:val="Pladsholdertekst"/>
                <w:rFonts w:ascii="Calibri" w:hAnsi="Calibri" w:cs="Calibri"/>
                <w:color w:val="000000" w:themeColor="text1"/>
                <w:sz w:val="16"/>
                <w:szCs w:val="16"/>
              </w:rPr>
              <w:t>n</w:t>
            </w:r>
            <w:r>
              <w:rPr>
                <w:rStyle w:val="Pladsholdertekst"/>
                <w:rFonts w:ascii="Calibri" w:hAnsi="Calibri" w:cs="Calibri"/>
                <w:color w:val="000000" w:themeColor="text1"/>
                <w:sz w:val="16"/>
                <w:szCs w:val="16"/>
              </w:rPr>
              <w:t>standsordningen.</w:t>
            </w:r>
          </w:p>
        </w:tc>
      </w:tr>
      <w:tr w:rsidR="00ED0BE5" w:rsidRPr="00D97706" w:rsidTr="003E40E3">
        <w:trPr>
          <w:trHeight w:val="360"/>
        </w:trPr>
        <w:tc>
          <w:tcPr>
            <w:tcW w:w="1819" w:type="dxa"/>
          </w:tcPr>
          <w:p w:rsidR="00ED0BE5" w:rsidRDefault="00ED0BE5" w:rsidP="003E40E3">
            <w:pPr>
              <w:spacing w:after="60" w:line="276" w:lineRule="auto"/>
              <w:jc w:val="left"/>
              <w:rPr>
                <w:rFonts w:ascii="Calibri" w:hAnsi="Calibri" w:cs="Calibri"/>
                <w:sz w:val="16"/>
                <w:szCs w:val="16"/>
              </w:rPr>
            </w:pPr>
            <w:r>
              <w:rPr>
                <w:rStyle w:val="Pladsholdertekst"/>
                <w:rFonts w:ascii="Calibri" w:hAnsi="Calibri" w:cs="Calibri"/>
                <w:color w:val="auto"/>
                <w:sz w:val="16"/>
                <w:szCs w:val="16"/>
              </w:rPr>
              <w:lastRenderedPageBreak/>
              <w:t>Dansk Erhverv</w:t>
            </w:r>
          </w:p>
        </w:tc>
        <w:tc>
          <w:tcPr>
            <w:tcW w:w="3536" w:type="dxa"/>
          </w:tcPr>
          <w:p w:rsidR="00ED0BE5" w:rsidRDefault="00ED0BE5" w:rsidP="003E40E3">
            <w:pPr>
              <w:spacing w:after="60"/>
              <w:rPr>
                <w:rStyle w:val="Pladsholdertekst"/>
                <w:rFonts w:ascii="Calibri" w:hAnsi="Calibri" w:cs="Calibri"/>
                <w:color w:val="000000" w:themeColor="text1"/>
                <w:sz w:val="16"/>
                <w:szCs w:val="16"/>
              </w:rPr>
            </w:pPr>
            <w:r w:rsidRPr="0058353B">
              <w:rPr>
                <w:rStyle w:val="Pladsholdertekst"/>
                <w:rFonts w:ascii="Calibri" w:hAnsi="Calibri" w:cs="Calibri"/>
                <w:color w:val="000000" w:themeColor="text1"/>
                <w:sz w:val="16"/>
                <w:szCs w:val="16"/>
              </w:rPr>
              <w:t xml:space="preserve">Er overordnet imod </w:t>
            </w:r>
            <w:r>
              <w:rPr>
                <w:rStyle w:val="Pladsholdertekst"/>
                <w:rFonts w:ascii="Calibri" w:hAnsi="Calibri" w:cs="Calibri"/>
                <w:color w:val="000000" w:themeColor="text1"/>
                <w:sz w:val="16"/>
                <w:szCs w:val="16"/>
              </w:rPr>
              <w:t>exitbeskatningsregler, men mener, at den foreslåede model er bedre end den tidligere. Dansk Erhverv (DE) mener, at en he</w:t>
            </w:r>
            <w:r>
              <w:rPr>
                <w:rStyle w:val="Pladsholdertekst"/>
                <w:rFonts w:ascii="Calibri" w:hAnsi="Calibri" w:cs="Calibri"/>
                <w:color w:val="000000" w:themeColor="text1"/>
                <w:sz w:val="16"/>
                <w:szCs w:val="16"/>
              </w:rPr>
              <w:t>n</w:t>
            </w:r>
            <w:r>
              <w:rPr>
                <w:rStyle w:val="Pladsholdertekst"/>
                <w:rFonts w:ascii="Calibri" w:hAnsi="Calibri" w:cs="Calibri"/>
                <w:color w:val="000000" w:themeColor="text1"/>
                <w:sz w:val="16"/>
                <w:szCs w:val="16"/>
              </w:rPr>
              <w:t>standsordning skal være tidsubegrænset. DE mener yderligere, at forslaget burde udvides til alle lande, som Danmark har en dobbeltbeska</w:t>
            </w:r>
            <w:r>
              <w:rPr>
                <w:rStyle w:val="Pladsholdertekst"/>
                <w:rFonts w:ascii="Calibri" w:hAnsi="Calibri" w:cs="Calibri"/>
                <w:color w:val="000000" w:themeColor="text1"/>
                <w:sz w:val="16"/>
                <w:szCs w:val="16"/>
              </w:rPr>
              <w:t>t</w:t>
            </w:r>
            <w:r>
              <w:rPr>
                <w:rStyle w:val="Pladsholdertekst"/>
                <w:rFonts w:ascii="Calibri" w:hAnsi="Calibri" w:cs="Calibri"/>
                <w:color w:val="000000" w:themeColor="text1"/>
                <w:sz w:val="16"/>
                <w:szCs w:val="16"/>
              </w:rPr>
              <w:t>ningsoverenskomst med. DE mener desuden, at det kan blive svært eller umuligt for det overdr</w:t>
            </w:r>
            <w:r>
              <w:rPr>
                <w:rStyle w:val="Pladsholdertekst"/>
                <w:rFonts w:ascii="Calibri" w:hAnsi="Calibri" w:cs="Calibri"/>
                <w:color w:val="000000" w:themeColor="text1"/>
                <w:sz w:val="16"/>
                <w:szCs w:val="16"/>
              </w:rPr>
              <w:t>a</w:t>
            </w:r>
            <w:r>
              <w:rPr>
                <w:rStyle w:val="Pladsholdertekst"/>
                <w:rFonts w:ascii="Calibri" w:hAnsi="Calibri" w:cs="Calibri"/>
                <w:color w:val="000000" w:themeColor="text1"/>
                <w:sz w:val="16"/>
                <w:szCs w:val="16"/>
              </w:rPr>
              <w:t>gende selskab at få tilstrækkeligt indblik i det modtagende selskabs regnskab til at kunne dok</w:t>
            </w:r>
            <w:r>
              <w:rPr>
                <w:rStyle w:val="Pladsholdertekst"/>
                <w:rFonts w:ascii="Calibri" w:hAnsi="Calibri" w:cs="Calibri"/>
                <w:color w:val="000000" w:themeColor="text1"/>
                <w:sz w:val="16"/>
                <w:szCs w:val="16"/>
              </w:rPr>
              <w:t>u</w:t>
            </w:r>
            <w:r>
              <w:rPr>
                <w:rStyle w:val="Pladsholdertekst"/>
                <w:rFonts w:ascii="Calibri" w:hAnsi="Calibri" w:cs="Calibri"/>
                <w:color w:val="000000" w:themeColor="text1"/>
                <w:sz w:val="16"/>
                <w:szCs w:val="16"/>
              </w:rPr>
              <w:t xml:space="preserve">mentere henstandsbeløbet, særligt hvis der er tale om et dansk datterselskab, der overdrager til et selskab i EU. </w:t>
            </w:r>
          </w:p>
          <w:p w:rsidR="003E40E3" w:rsidRDefault="003E40E3" w:rsidP="003E40E3">
            <w:pPr>
              <w:spacing w:after="60"/>
              <w:rPr>
                <w:rStyle w:val="Pladsholdertekst"/>
                <w:rFonts w:ascii="Calibri" w:hAnsi="Calibri" w:cs="Calibri"/>
                <w:color w:val="000000" w:themeColor="text1"/>
                <w:sz w:val="16"/>
                <w:szCs w:val="16"/>
              </w:rPr>
            </w:pPr>
          </w:p>
          <w:p w:rsidR="00ED0BE5" w:rsidRDefault="00ED0BE5" w:rsidP="003E40E3">
            <w:pPr>
              <w:spacing w:after="60"/>
              <w:rPr>
                <w:rFonts w:ascii="Calibri" w:hAnsi="Calibri" w:cs="Calibri"/>
                <w:sz w:val="16"/>
                <w:szCs w:val="16"/>
              </w:rPr>
            </w:pPr>
            <w:r>
              <w:rPr>
                <w:rStyle w:val="Pladsholdertekst"/>
                <w:rFonts w:ascii="Calibri" w:hAnsi="Calibri" w:cs="Calibri"/>
                <w:color w:val="000000" w:themeColor="text1"/>
                <w:sz w:val="16"/>
                <w:szCs w:val="16"/>
              </w:rPr>
              <w:t xml:space="preserve">I forhold til, at opgørelsen skal ske på armslængde-vilkår, mener DE, at der er usikkerhed omkring </w:t>
            </w:r>
            <w:r>
              <w:rPr>
                <w:rStyle w:val="Pladsholdertekst"/>
                <w:rFonts w:ascii="Calibri" w:hAnsi="Calibri" w:cs="Calibri"/>
                <w:i/>
                <w:iCs/>
                <w:color w:val="000000" w:themeColor="text1"/>
                <w:sz w:val="16"/>
                <w:szCs w:val="16"/>
              </w:rPr>
              <w:t xml:space="preserve">hvilke </w:t>
            </w:r>
            <w:r>
              <w:rPr>
                <w:rStyle w:val="Pladsholdertekst"/>
                <w:rFonts w:ascii="Calibri" w:hAnsi="Calibri" w:cs="Calibri"/>
                <w:color w:val="000000" w:themeColor="text1"/>
                <w:sz w:val="16"/>
                <w:szCs w:val="16"/>
              </w:rPr>
              <w:t xml:space="preserve">skattemyndigheder, der skal afgøre, om kravet er opfyldt. Endelig mener DE, at det er uklart, hvad konsekvensen er af, at det ikke er muligt at opgøre indkomsten på et tilstrækkeligt grundlag: </w:t>
            </w:r>
            <w:r w:rsidR="003E40E3">
              <w:rPr>
                <w:rStyle w:val="Pladsholdertekst"/>
                <w:rFonts w:ascii="Calibri" w:hAnsi="Calibri" w:cs="Calibri"/>
                <w:color w:val="000000" w:themeColor="text1"/>
                <w:sz w:val="16"/>
                <w:szCs w:val="16"/>
              </w:rPr>
              <w:t>O</w:t>
            </w:r>
            <w:r>
              <w:rPr>
                <w:rStyle w:val="Pladsholdertekst"/>
                <w:rFonts w:ascii="Calibri" w:hAnsi="Calibri" w:cs="Calibri"/>
                <w:color w:val="000000" w:themeColor="text1"/>
                <w:sz w:val="16"/>
                <w:szCs w:val="16"/>
              </w:rPr>
              <w:t xml:space="preserve">m det er, at muligheden for henstand bortfalder, eller om udgangspunktet er et afdrag på 1/7 af overdragelsessummen.  </w:t>
            </w:r>
          </w:p>
        </w:tc>
        <w:tc>
          <w:tcPr>
            <w:tcW w:w="4406" w:type="dxa"/>
            <w:vAlign w:val="center"/>
          </w:tcPr>
          <w:p w:rsidR="00ED0BE5" w:rsidRDefault="00ED0BE5" w:rsidP="003E40E3">
            <w:pPr>
              <w:spacing w:after="60"/>
              <w:rPr>
                <w:rStyle w:val="Pladsholdertekst"/>
                <w:rFonts w:ascii="Calibri" w:hAnsi="Calibri" w:cs="Calibri"/>
                <w:color w:val="000000" w:themeColor="text1"/>
                <w:sz w:val="16"/>
                <w:szCs w:val="16"/>
              </w:rPr>
            </w:pPr>
            <w:r w:rsidRPr="00CB33FC">
              <w:rPr>
                <w:rStyle w:val="Pladsholdertekst"/>
                <w:rFonts w:ascii="Calibri" w:hAnsi="Calibri" w:cs="Calibri"/>
                <w:color w:val="000000" w:themeColor="text1"/>
                <w:sz w:val="16"/>
                <w:szCs w:val="16"/>
              </w:rPr>
              <w:t>I forhold til den tidsmæssige udstrækning af henstandsordni</w:t>
            </w:r>
            <w:r w:rsidRPr="00CB33FC">
              <w:rPr>
                <w:rStyle w:val="Pladsholdertekst"/>
                <w:rFonts w:ascii="Calibri" w:hAnsi="Calibri" w:cs="Calibri"/>
                <w:color w:val="000000" w:themeColor="text1"/>
                <w:sz w:val="16"/>
                <w:szCs w:val="16"/>
              </w:rPr>
              <w:t>n</w:t>
            </w:r>
            <w:r w:rsidRPr="00CB33FC">
              <w:rPr>
                <w:rStyle w:val="Pladsholdertekst"/>
                <w:rFonts w:ascii="Calibri" w:hAnsi="Calibri" w:cs="Calibri"/>
                <w:color w:val="000000" w:themeColor="text1"/>
                <w:sz w:val="16"/>
                <w:szCs w:val="16"/>
              </w:rPr>
              <w:t xml:space="preserve">gen er perioden på 7 år valgt for at sikre, at exitskatten bliver </w:t>
            </w:r>
            <w:r>
              <w:rPr>
                <w:rStyle w:val="Pladsholdertekst"/>
                <w:rFonts w:ascii="Calibri" w:hAnsi="Calibri" w:cs="Calibri"/>
                <w:color w:val="000000" w:themeColor="text1"/>
                <w:sz w:val="16"/>
                <w:szCs w:val="16"/>
              </w:rPr>
              <w:t>betalt inden for en rimelig tidshorisont, og at der samtidig ydes en rimelig betalingsudskydelse. De 7 år er valgt, fordi perioden svarer til afskrivningsperioden for immaterielle aktiver, som er den type af aktiver, der ofte vil være relevant at overføre til et hovedkontor af et selskab, der er skattemæssigt hjemmehøre</w:t>
            </w:r>
            <w:r>
              <w:rPr>
                <w:rStyle w:val="Pladsholdertekst"/>
                <w:rFonts w:ascii="Calibri" w:hAnsi="Calibri" w:cs="Calibri"/>
                <w:color w:val="000000" w:themeColor="text1"/>
                <w:sz w:val="16"/>
                <w:szCs w:val="16"/>
              </w:rPr>
              <w:t>n</w:t>
            </w:r>
            <w:r>
              <w:rPr>
                <w:rStyle w:val="Pladsholdertekst"/>
                <w:rFonts w:ascii="Calibri" w:hAnsi="Calibri" w:cs="Calibri"/>
                <w:color w:val="000000" w:themeColor="text1"/>
                <w:sz w:val="16"/>
                <w:szCs w:val="16"/>
              </w:rPr>
              <w:t xml:space="preserve">de i et land, der er medlem af EU/EØS, eller til et fast driftssted i et land, der er medlem af EU/EØS. </w:t>
            </w:r>
          </w:p>
          <w:p w:rsidR="00ED0BE5" w:rsidRDefault="00ED0BE5" w:rsidP="003E40E3">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Forslaget om at udvide henstandsordningen til også omfatte overførsler til lande, som Danmark har indgået en dobbeltb</w:t>
            </w:r>
            <w:r>
              <w:rPr>
                <w:rStyle w:val="Pladsholdertekst"/>
                <w:rFonts w:ascii="Calibri" w:hAnsi="Calibri" w:cs="Calibri"/>
                <w:color w:val="000000" w:themeColor="text1"/>
                <w:sz w:val="16"/>
                <w:szCs w:val="16"/>
              </w:rPr>
              <w:t>e</w:t>
            </w:r>
            <w:r>
              <w:rPr>
                <w:rStyle w:val="Pladsholdertekst"/>
                <w:rFonts w:ascii="Calibri" w:hAnsi="Calibri" w:cs="Calibri"/>
                <w:color w:val="000000" w:themeColor="text1"/>
                <w:sz w:val="16"/>
                <w:szCs w:val="16"/>
              </w:rPr>
              <w:t xml:space="preserve">skatningsoverenskomst med, er ikke imødekommet, da EU-dommen statuerer, at da der er tale om den fri etableringsret, er det alene i forhold til overførsler til andre EU/EØS-lande, at reglerne om opkrævning af exitskatten skal ændres. </w:t>
            </w:r>
          </w:p>
          <w:p w:rsidR="00ED0BE5" w:rsidRDefault="00ED0BE5" w:rsidP="003E40E3">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Det dokumentationskrav, der pålægges selskaberne i forbinde</w:t>
            </w:r>
            <w:r>
              <w:rPr>
                <w:rStyle w:val="Pladsholdertekst"/>
                <w:rFonts w:ascii="Calibri" w:hAnsi="Calibri" w:cs="Calibri"/>
                <w:color w:val="000000" w:themeColor="text1"/>
                <w:sz w:val="16"/>
                <w:szCs w:val="16"/>
              </w:rPr>
              <w:t>l</w:t>
            </w:r>
            <w:r>
              <w:rPr>
                <w:rStyle w:val="Pladsholdertekst"/>
                <w:rFonts w:ascii="Calibri" w:hAnsi="Calibri" w:cs="Calibri"/>
                <w:color w:val="000000" w:themeColor="text1"/>
                <w:sz w:val="16"/>
                <w:szCs w:val="16"/>
              </w:rPr>
              <w:t>se med tilvalget af henstandsordningen, er nøje fastsat ud fra hensynet til skattemyndighedernes mulighed for at opgøre henstandsbeløbet i takt med, at der oppebæres afkast af de overførte aktiver. Reglerne medfører en administrativ byrde for selskaberne, men til gengæld lettes de for den likviditetsmæss</w:t>
            </w:r>
            <w:r>
              <w:rPr>
                <w:rStyle w:val="Pladsholdertekst"/>
                <w:rFonts w:ascii="Calibri" w:hAnsi="Calibri" w:cs="Calibri"/>
                <w:color w:val="000000" w:themeColor="text1"/>
                <w:sz w:val="16"/>
                <w:szCs w:val="16"/>
              </w:rPr>
              <w:t>i</w:t>
            </w:r>
            <w:r>
              <w:rPr>
                <w:rStyle w:val="Pladsholdertekst"/>
                <w:rFonts w:ascii="Calibri" w:hAnsi="Calibri" w:cs="Calibri"/>
                <w:color w:val="000000" w:themeColor="text1"/>
                <w:sz w:val="16"/>
                <w:szCs w:val="16"/>
              </w:rPr>
              <w:t>ge byrde, som de gældende regler medfører. Det er i den sen</w:t>
            </w:r>
            <w:r>
              <w:rPr>
                <w:rStyle w:val="Pladsholdertekst"/>
                <w:rFonts w:ascii="Calibri" w:hAnsi="Calibri" w:cs="Calibri"/>
                <w:color w:val="000000" w:themeColor="text1"/>
                <w:sz w:val="16"/>
                <w:szCs w:val="16"/>
              </w:rPr>
              <w:t>e</w:t>
            </w:r>
            <w:r>
              <w:rPr>
                <w:rStyle w:val="Pladsholdertekst"/>
                <w:rFonts w:ascii="Calibri" w:hAnsi="Calibri" w:cs="Calibri"/>
                <w:color w:val="000000" w:themeColor="text1"/>
                <w:sz w:val="16"/>
                <w:szCs w:val="16"/>
              </w:rPr>
              <w:t xml:space="preserve">ste EU-praksis på området fastslået, at den administrative byrde i forbindelse med en henstandsordning ikke er urimelig. Såfremt et selskab vurderer, at henstand ikke er en attraktiv mulighed på grund af de administrative byrder, kan det frit vælge at betale den opgjorte exitskat straks. </w:t>
            </w:r>
          </w:p>
          <w:p w:rsidR="00ED0BE5" w:rsidRDefault="00ED0BE5" w:rsidP="003E40E3">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Selskaberne har pligt til at selvangive de nødvendige beløb og bidrage med de nødvendige oplysninger. Hvorvidt der er sket en korrekt selvangivelse, er et ligningsmæssigt spørgsmål, som skattemyndighederne i de enkelte sager vil vurdere. Det kan derfor ikke tiltrædes, at der som foreslået af Dansk Erhverv indføres en regel om, at afdraget som udgangspunkt er 1/7, hvis sagen ikke er oplyst tilstrækkeligt til, at indkomsten kan opg</w:t>
            </w:r>
            <w:r>
              <w:rPr>
                <w:rStyle w:val="Pladsholdertekst"/>
                <w:rFonts w:ascii="Calibri" w:hAnsi="Calibri" w:cs="Calibri"/>
                <w:color w:val="000000" w:themeColor="text1"/>
                <w:sz w:val="16"/>
                <w:szCs w:val="16"/>
              </w:rPr>
              <w:t>ø</w:t>
            </w:r>
            <w:r>
              <w:rPr>
                <w:rStyle w:val="Pladsholdertekst"/>
                <w:rFonts w:ascii="Calibri" w:hAnsi="Calibri" w:cs="Calibri"/>
                <w:color w:val="000000" w:themeColor="text1"/>
                <w:sz w:val="16"/>
                <w:szCs w:val="16"/>
              </w:rPr>
              <w:t xml:space="preserve">res. </w:t>
            </w:r>
          </w:p>
          <w:p w:rsidR="00ED0BE5" w:rsidRPr="00D97706" w:rsidRDefault="00ED0BE5" w:rsidP="003E40E3">
            <w:pPr>
              <w:spacing w:after="60"/>
              <w:rPr>
                <w:rFonts w:ascii="Calibri" w:hAnsi="Calibri" w:cs="Calibri"/>
                <w:sz w:val="16"/>
                <w:szCs w:val="16"/>
              </w:rPr>
            </w:pPr>
            <w:r>
              <w:rPr>
                <w:rStyle w:val="Pladsholdertekst"/>
                <w:rFonts w:ascii="Calibri" w:hAnsi="Calibri" w:cs="Calibri"/>
                <w:color w:val="000000" w:themeColor="text1"/>
                <w:sz w:val="16"/>
                <w:szCs w:val="16"/>
              </w:rPr>
              <w:t>Det er de danske skattemyndigheder, der afgør, om opgørelsen er sket på armslængdevilkår. Udenlandske skattemyndigheder vil alene blive inddraget i det omfang, der måtte være behov for assistance i forhold til udlevering af oplysninger eller inddrivelse af de skyldige beløb</w:t>
            </w:r>
          </w:p>
        </w:tc>
      </w:tr>
      <w:tr w:rsidR="00ED0BE5" w:rsidRPr="00D97706" w:rsidTr="003E40E3">
        <w:trPr>
          <w:trHeight w:val="360"/>
        </w:trPr>
        <w:tc>
          <w:tcPr>
            <w:tcW w:w="1819" w:type="dxa"/>
          </w:tcPr>
          <w:p w:rsidR="00ED0BE5" w:rsidRDefault="00ED0BE5" w:rsidP="003E40E3">
            <w:pPr>
              <w:spacing w:after="60" w:line="276" w:lineRule="auto"/>
              <w:jc w:val="left"/>
              <w:rPr>
                <w:rFonts w:ascii="Calibri" w:hAnsi="Calibri" w:cs="Calibri"/>
                <w:sz w:val="16"/>
                <w:szCs w:val="16"/>
              </w:rPr>
            </w:pPr>
            <w:r>
              <w:rPr>
                <w:rStyle w:val="Pladsholdertekst"/>
                <w:rFonts w:ascii="Calibri" w:hAnsi="Calibri" w:cs="Calibri"/>
                <w:color w:val="auto"/>
                <w:sz w:val="16"/>
                <w:szCs w:val="16"/>
              </w:rPr>
              <w:t>Dansk Industri</w:t>
            </w:r>
          </w:p>
        </w:tc>
        <w:tc>
          <w:tcPr>
            <w:tcW w:w="3536" w:type="dxa"/>
            <w:vAlign w:val="center"/>
          </w:tcPr>
          <w:p w:rsidR="00ED0BE5" w:rsidRPr="003060E5" w:rsidRDefault="00ED0BE5" w:rsidP="003E40E3">
            <w:pPr>
              <w:spacing w:after="60"/>
              <w:rPr>
                <w:rFonts w:asciiTheme="majorHAnsi" w:hAnsiTheme="majorHAnsi" w:cstheme="majorHAnsi"/>
                <w:sz w:val="16"/>
                <w:szCs w:val="16"/>
              </w:rPr>
            </w:pPr>
            <w:r>
              <w:rPr>
                <w:rFonts w:asciiTheme="majorHAnsi" w:hAnsiTheme="majorHAnsi" w:cstheme="majorHAnsi"/>
                <w:sz w:val="16"/>
                <w:szCs w:val="16"/>
              </w:rPr>
              <w:t>Det</w:t>
            </w:r>
            <w:r w:rsidRPr="003060E5">
              <w:rPr>
                <w:rFonts w:asciiTheme="majorHAnsi" w:hAnsiTheme="majorHAnsi" w:cstheme="majorHAnsi"/>
                <w:sz w:val="16"/>
                <w:szCs w:val="16"/>
              </w:rPr>
              <w:t xml:space="preserve"> bemærkes, at en justering af exitbeskatning</w:t>
            </w:r>
            <w:r w:rsidRPr="003060E5">
              <w:rPr>
                <w:rFonts w:asciiTheme="majorHAnsi" w:hAnsiTheme="majorHAnsi" w:cstheme="majorHAnsi"/>
                <w:sz w:val="16"/>
                <w:szCs w:val="16"/>
              </w:rPr>
              <w:t>s</w:t>
            </w:r>
            <w:r w:rsidRPr="003060E5">
              <w:rPr>
                <w:rFonts w:asciiTheme="majorHAnsi" w:hAnsiTheme="majorHAnsi" w:cstheme="majorHAnsi"/>
                <w:sz w:val="16"/>
                <w:szCs w:val="16"/>
              </w:rPr>
              <w:t>reglerne hilses velkommen.</w:t>
            </w:r>
          </w:p>
          <w:p w:rsidR="00ED0BE5" w:rsidRPr="003060E5" w:rsidRDefault="00ED0BE5" w:rsidP="003E40E3">
            <w:pPr>
              <w:spacing w:after="60"/>
              <w:rPr>
                <w:rFonts w:asciiTheme="majorHAnsi" w:hAnsiTheme="majorHAnsi" w:cstheme="majorHAnsi"/>
                <w:sz w:val="16"/>
                <w:szCs w:val="16"/>
              </w:rPr>
            </w:pPr>
          </w:p>
          <w:p w:rsidR="00ED0BE5" w:rsidRDefault="00ED0BE5" w:rsidP="003E40E3">
            <w:pPr>
              <w:spacing w:after="60"/>
              <w:rPr>
                <w:rFonts w:ascii="Calibri" w:hAnsi="Calibri" w:cs="Calibri"/>
                <w:sz w:val="16"/>
                <w:szCs w:val="16"/>
              </w:rPr>
            </w:pPr>
            <w:r w:rsidRPr="003060E5">
              <w:rPr>
                <w:rFonts w:asciiTheme="majorHAnsi" w:hAnsiTheme="majorHAnsi" w:cstheme="majorHAnsi"/>
                <w:sz w:val="16"/>
                <w:szCs w:val="16"/>
              </w:rPr>
              <w:t>Samtidig bemærkes dog, at idet den foreslåede justering er resultat</w:t>
            </w:r>
            <w:r>
              <w:rPr>
                <w:rFonts w:asciiTheme="majorHAnsi" w:hAnsiTheme="majorHAnsi" w:cstheme="majorHAnsi"/>
                <w:sz w:val="16"/>
                <w:szCs w:val="16"/>
              </w:rPr>
              <w:t>et</w:t>
            </w:r>
            <w:r w:rsidRPr="003060E5">
              <w:rPr>
                <w:rFonts w:asciiTheme="majorHAnsi" w:hAnsiTheme="majorHAnsi" w:cstheme="majorHAnsi"/>
                <w:sz w:val="16"/>
                <w:szCs w:val="16"/>
              </w:rPr>
              <w:t xml:space="preserve"> af en afvejning af forskellige hensyn, kan det ikke udelukkes, at der kan rejses spørgsmål om, hvorvidt exitbeskatningsreglerne herefter er i overensstemmelse med EU-retten.</w:t>
            </w:r>
          </w:p>
        </w:tc>
        <w:tc>
          <w:tcPr>
            <w:tcW w:w="4406" w:type="dxa"/>
          </w:tcPr>
          <w:p w:rsidR="00ED0BE5" w:rsidRPr="00D97706" w:rsidRDefault="00ED0BE5" w:rsidP="003E40E3">
            <w:pPr>
              <w:spacing w:after="60"/>
              <w:rPr>
                <w:rFonts w:ascii="Calibri" w:hAnsi="Calibri" w:cs="Calibri"/>
                <w:sz w:val="16"/>
                <w:szCs w:val="16"/>
              </w:rPr>
            </w:pPr>
            <w:r>
              <w:rPr>
                <w:rStyle w:val="Pladsholdertekst"/>
                <w:rFonts w:ascii="Calibri" w:hAnsi="Calibri" w:cs="Calibri"/>
                <w:color w:val="000000" w:themeColor="text1"/>
                <w:sz w:val="16"/>
                <w:szCs w:val="16"/>
              </w:rPr>
              <w:t>På baggrund af de seneste EU-domme på området, som har bidraget med konkrete kriterier for udformningen af en he</w:t>
            </w:r>
            <w:r>
              <w:rPr>
                <w:rStyle w:val="Pladsholdertekst"/>
                <w:rFonts w:ascii="Calibri" w:hAnsi="Calibri" w:cs="Calibri"/>
                <w:color w:val="000000" w:themeColor="text1"/>
                <w:sz w:val="16"/>
                <w:szCs w:val="16"/>
              </w:rPr>
              <w:t>n</w:t>
            </w:r>
            <w:r>
              <w:rPr>
                <w:rStyle w:val="Pladsholdertekst"/>
                <w:rFonts w:ascii="Calibri" w:hAnsi="Calibri" w:cs="Calibri"/>
                <w:color w:val="000000" w:themeColor="text1"/>
                <w:sz w:val="16"/>
                <w:szCs w:val="16"/>
              </w:rPr>
              <w:t>standsordning, der vil bringe reglerne om exitbeskatning i overensstemmelse med EU-retten, er det opfattelsen, at de danske regler efter implementeringen af nærværende lovforslag må anses for at være i overensstemmelse med EU-retten.</w:t>
            </w:r>
          </w:p>
        </w:tc>
      </w:tr>
      <w:tr w:rsidR="00ED0BE5" w:rsidRPr="00D97706" w:rsidTr="003E40E3">
        <w:trPr>
          <w:trHeight w:val="343"/>
        </w:trPr>
        <w:tc>
          <w:tcPr>
            <w:tcW w:w="1819" w:type="dxa"/>
            <w:vAlign w:val="center"/>
          </w:tcPr>
          <w:p w:rsidR="00ED0BE5" w:rsidRPr="00D97706" w:rsidRDefault="00ED0BE5" w:rsidP="003E40E3">
            <w:pPr>
              <w:spacing w:after="60" w:line="276" w:lineRule="auto"/>
              <w:jc w:val="left"/>
              <w:rPr>
                <w:rFonts w:ascii="Calibri" w:hAnsi="Calibri" w:cs="Calibri"/>
                <w:sz w:val="16"/>
                <w:szCs w:val="16"/>
              </w:rPr>
            </w:pPr>
            <w:r>
              <w:rPr>
                <w:rFonts w:ascii="Calibri" w:hAnsi="Calibri" w:cs="Calibri"/>
                <w:sz w:val="16"/>
                <w:szCs w:val="16"/>
              </w:rPr>
              <w:t xml:space="preserve">Dansk Rederiforening </w:t>
            </w:r>
          </w:p>
        </w:tc>
        <w:tc>
          <w:tcPr>
            <w:tcW w:w="3536" w:type="dxa"/>
            <w:vAlign w:val="center"/>
          </w:tcPr>
          <w:p w:rsidR="00ED0BE5" w:rsidRPr="00D97706" w:rsidRDefault="00ED0BE5" w:rsidP="003E40E3">
            <w:pPr>
              <w:spacing w:after="60" w:line="276" w:lineRule="auto"/>
              <w:jc w:val="left"/>
              <w:rPr>
                <w:rFonts w:ascii="Calibri" w:hAnsi="Calibri" w:cs="Calibri"/>
                <w:sz w:val="16"/>
                <w:szCs w:val="16"/>
              </w:rPr>
            </w:pPr>
            <w:r>
              <w:rPr>
                <w:rFonts w:ascii="Calibri" w:hAnsi="Calibri" w:cs="Calibri"/>
                <w:sz w:val="16"/>
                <w:szCs w:val="16"/>
              </w:rPr>
              <w:t xml:space="preserve">Ingen bemærkninger </w:t>
            </w:r>
          </w:p>
        </w:tc>
        <w:tc>
          <w:tcPr>
            <w:tcW w:w="4406" w:type="dxa"/>
            <w:vAlign w:val="center"/>
          </w:tcPr>
          <w:p w:rsidR="00ED0BE5" w:rsidRPr="00D97706" w:rsidRDefault="00ED0BE5" w:rsidP="003E40E3">
            <w:pPr>
              <w:spacing w:after="60" w:line="276" w:lineRule="auto"/>
              <w:jc w:val="left"/>
              <w:rPr>
                <w:rFonts w:ascii="Calibri" w:hAnsi="Calibri" w:cs="Calibri"/>
                <w:sz w:val="16"/>
                <w:szCs w:val="16"/>
              </w:rPr>
            </w:pPr>
          </w:p>
        </w:tc>
      </w:tr>
      <w:tr w:rsidR="003E40E3" w:rsidRPr="00D97706" w:rsidTr="003E40E3">
        <w:trPr>
          <w:trHeight w:val="343"/>
        </w:trPr>
        <w:tc>
          <w:tcPr>
            <w:tcW w:w="1819" w:type="dxa"/>
            <w:vAlign w:val="center"/>
          </w:tcPr>
          <w:p w:rsidR="003E40E3" w:rsidRPr="003E40E3" w:rsidRDefault="003E40E3" w:rsidP="003E40E3">
            <w:pPr>
              <w:spacing w:after="60"/>
              <w:jc w:val="left"/>
              <w:rPr>
                <w:rFonts w:ascii="Calibri" w:hAnsi="Calibri" w:cs="Calibri"/>
                <w:sz w:val="16"/>
                <w:szCs w:val="16"/>
              </w:rPr>
            </w:pPr>
            <w:r w:rsidRPr="003E40E3">
              <w:rPr>
                <w:rFonts w:ascii="Calibri" w:hAnsi="Calibri" w:cs="Calibri"/>
                <w:sz w:val="16"/>
                <w:szCs w:val="16"/>
              </w:rPr>
              <w:t>FSR</w:t>
            </w:r>
          </w:p>
          <w:p w:rsidR="003E40E3" w:rsidRDefault="003E40E3" w:rsidP="003E40E3">
            <w:pPr>
              <w:spacing w:after="60"/>
              <w:jc w:val="left"/>
              <w:rPr>
                <w:rFonts w:ascii="Calibri" w:hAnsi="Calibri" w:cs="Calibri"/>
                <w:sz w:val="16"/>
                <w:szCs w:val="16"/>
              </w:rPr>
            </w:pPr>
          </w:p>
        </w:tc>
        <w:tc>
          <w:tcPr>
            <w:tcW w:w="3536" w:type="dxa"/>
            <w:vAlign w:val="center"/>
          </w:tcPr>
          <w:p w:rsidR="003E40E3" w:rsidRPr="00395CBF" w:rsidRDefault="003E40E3" w:rsidP="00ED0BE5">
            <w:pPr>
              <w:spacing w:after="60"/>
              <w:rPr>
                <w:rFonts w:asciiTheme="majorHAnsi" w:hAnsiTheme="majorHAnsi" w:cstheme="majorHAnsi"/>
                <w:sz w:val="16"/>
                <w:szCs w:val="16"/>
                <w:u w:val="single"/>
              </w:rPr>
            </w:pPr>
            <w:r w:rsidRPr="00395CBF">
              <w:rPr>
                <w:rFonts w:asciiTheme="majorHAnsi" w:hAnsiTheme="majorHAnsi" w:cstheme="majorHAnsi"/>
                <w:sz w:val="16"/>
                <w:szCs w:val="16"/>
                <w:u w:val="single"/>
              </w:rPr>
              <w:t>Selskabsskattelovens § 26, stk. 1</w:t>
            </w:r>
          </w:p>
          <w:p w:rsidR="003E40E3" w:rsidRPr="00395CBF" w:rsidRDefault="003E40E3" w:rsidP="00ED0BE5">
            <w:pPr>
              <w:spacing w:after="60"/>
              <w:rPr>
                <w:rFonts w:asciiTheme="majorHAnsi" w:hAnsiTheme="majorHAnsi" w:cstheme="majorHAnsi"/>
                <w:sz w:val="16"/>
                <w:szCs w:val="16"/>
              </w:rPr>
            </w:pPr>
            <w:r w:rsidRPr="00395CBF">
              <w:rPr>
                <w:rFonts w:asciiTheme="majorHAnsi" w:hAnsiTheme="majorHAnsi" w:cstheme="majorHAnsi"/>
                <w:sz w:val="16"/>
                <w:szCs w:val="16"/>
              </w:rPr>
              <w:t xml:space="preserve">FSR </w:t>
            </w:r>
            <w:r>
              <w:rPr>
                <w:rFonts w:asciiTheme="majorHAnsi" w:hAnsiTheme="majorHAnsi" w:cstheme="majorHAnsi"/>
                <w:sz w:val="16"/>
                <w:szCs w:val="16"/>
              </w:rPr>
              <w:t>beder</w:t>
            </w:r>
            <w:r w:rsidRPr="00395CBF">
              <w:rPr>
                <w:rFonts w:asciiTheme="majorHAnsi" w:hAnsiTheme="majorHAnsi" w:cstheme="majorHAnsi"/>
                <w:sz w:val="16"/>
                <w:szCs w:val="16"/>
              </w:rPr>
              <w:t xml:space="preserve"> </w:t>
            </w:r>
            <w:r>
              <w:rPr>
                <w:rFonts w:asciiTheme="majorHAnsi" w:hAnsiTheme="majorHAnsi" w:cstheme="majorHAnsi"/>
                <w:sz w:val="16"/>
                <w:szCs w:val="16"/>
              </w:rPr>
              <w:t xml:space="preserve">om at få </w:t>
            </w:r>
            <w:r w:rsidRPr="00395CBF">
              <w:rPr>
                <w:rFonts w:asciiTheme="majorHAnsi" w:hAnsiTheme="majorHAnsi" w:cstheme="majorHAnsi"/>
                <w:sz w:val="16"/>
                <w:szCs w:val="16"/>
              </w:rPr>
              <w:t>bekræfte</w:t>
            </w:r>
            <w:r>
              <w:rPr>
                <w:rFonts w:asciiTheme="majorHAnsi" w:hAnsiTheme="majorHAnsi" w:cstheme="majorHAnsi"/>
                <w:sz w:val="16"/>
                <w:szCs w:val="16"/>
              </w:rPr>
              <w:t>t</w:t>
            </w:r>
            <w:r w:rsidRPr="00395CBF">
              <w:rPr>
                <w:rFonts w:asciiTheme="majorHAnsi" w:hAnsiTheme="majorHAnsi" w:cstheme="majorHAnsi"/>
                <w:sz w:val="16"/>
                <w:szCs w:val="16"/>
              </w:rPr>
              <w:t xml:space="preserve">, at </w:t>
            </w:r>
            <w:r>
              <w:rPr>
                <w:rFonts w:asciiTheme="majorHAnsi" w:hAnsiTheme="majorHAnsi" w:cstheme="majorHAnsi"/>
                <w:sz w:val="16"/>
                <w:szCs w:val="16"/>
              </w:rPr>
              <w:t>bestemmelsen finder anvendelse, når et selskab, der er hjemm</w:t>
            </w:r>
            <w:r>
              <w:rPr>
                <w:rFonts w:asciiTheme="majorHAnsi" w:hAnsiTheme="majorHAnsi" w:cstheme="majorHAnsi"/>
                <w:sz w:val="16"/>
                <w:szCs w:val="16"/>
              </w:rPr>
              <w:t>e</w:t>
            </w:r>
            <w:r>
              <w:rPr>
                <w:rFonts w:asciiTheme="majorHAnsi" w:hAnsiTheme="majorHAnsi" w:cstheme="majorHAnsi"/>
                <w:sz w:val="16"/>
                <w:szCs w:val="16"/>
              </w:rPr>
              <w:t xml:space="preserve">hørende i et tredjeland, overfører aktiver og passiver fra sit danske </w:t>
            </w:r>
            <w:r w:rsidRPr="00395CBF">
              <w:rPr>
                <w:rFonts w:asciiTheme="majorHAnsi" w:hAnsiTheme="majorHAnsi" w:cstheme="majorHAnsi"/>
                <w:sz w:val="16"/>
                <w:szCs w:val="16"/>
              </w:rPr>
              <w:t xml:space="preserve">fast driftssted </w:t>
            </w:r>
            <w:r>
              <w:rPr>
                <w:rFonts w:asciiTheme="majorHAnsi" w:hAnsiTheme="majorHAnsi" w:cstheme="majorHAnsi"/>
                <w:sz w:val="16"/>
                <w:szCs w:val="16"/>
              </w:rPr>
              <w:t xml:space="preserve">til dets </w:t>
            </w:r>
            <w:r w:rsidRPr="00395CBF">
              <w:rPr>
                <w:rFonts w:asciiTheme="majorHAnsi" w:hAnsiTheme="majorHAnsi" w:cstheme="majorHAnsi"/>
                <w:sz w:val="16"/>
                <w:szCs w:val="16"/>
              </w:rPr>
              <w:t>fast</w:t>
            </w:r>
            <w:r>
              <w:rPr>
                <w:rFonts w:asciiTheme="majorHAnsi" w:hAnsiTheme="majorHAnsi" w:cstheme="majorHAnsi"/>
                <w:sz w:val="16"/>
                <w:szCs w:val="16"/>
              </w:rPr>
              <w:t>e</w:t>
            </w:r>
            <w:r w:rsidRPr="00395CBF">
              <w:rPr>
                <w:rFonts w:asciiTheme="majorHAnsi" w:hAnsiTheme="majorHAnsi" w:cstheme="majorHAnsi"/>
                <w:sz w:val="16"/>
                <w:szCs w:val="16"/>
              </w:rPr>
              <w:t xml:space="preserve"> driftssted i et andet EU/EØS-land.</w:t>
            </w:r>
            <w:r>
              <w:rPr>
                <w:rFonts w:asciiTheme="majorHAnsi" w:hAnsiTheme="majorHAnsi" w:cstheme="majorHAnsi"/>
                <w:sz w:val="16"/>
                <w:szCs w:val="16"/>
              </w:rPr>
              <w:t xml:space="preserve"> I tilknytning hertil ønskes oplyst, om det også gælder, hvor det faste driftssted i det andet EU/EØS-land først etableres i forbindelse med overførslen, herunder hvor det faste driftssted ikke kan anses for etabl</w:t>
            </w:r>
            <w:r>
              <w:rPr>
                <w:rFonts w:asciiTheme="majorHAnsi" w:hAnsiTheme="majorHAnsi" w:cstheme="majorHAnsi"/>
                <w:sz w:val="16"/>
                <w:szCs w:val="16"/>
              </w:rPr>
              <w:t>e</w:t>
            </w:r>
            <w:r>
              <w:rPr>
                <w:rFonts w:asciiTheme="majorHAnsi" w:hAnsiTheme="majorHAnsi" w:cstheme="majorHAnsi"/>
                <w:sz w:val="16"/>
                <w:szCs w:val="16"/>
              </w:rPr>
              <w:t>ret på selve overførselstidspunktet, jf. komment</w:t>
            </w:r>
            <w:r>
              <w:rPr>
                <w:rFonts w:asciiTheme="majorHAnsi" w:hAnsiTheme="majorHAnsi" w:cstheme="majorHAnsi"/>
                <w:sz w:val="16"/>
                <w:szCs w:val="16"/>
              </w:rPr>
              <w:t>a</w:t>
            </w:r>
            <w:r>
              <w:rPr>
                <w:rFonts w:asciiTheme="majorHAnsi" w:hAnsiTheme="majorHAnsi" w:cstheme="majorHAnsi"/>
                <w:sz w:val="16"/>
                <w:szCs w:val="16"/>
              </w:rPr>
              <w:t>rerne i pkt. 6 til artikel 5 i OECD’s modeloveren</w:t>
            </w:r>
            <w:r>
              <w:rPr>
                <w:rFonts w:asciiTheme="majorHAnsi" w:hAnsiTheme="majorHAnsi" w:cstheme="majorHAnsi"/>
                <w:sz w:val="16"/>
                <w:szCs w:val="16"/>
              </w:rPr>
              <w:t>s</w:t>
            </w:r>
            <w:r>
              <w:rPr>
                <w:rFonts w:asciiTheme="majorHAnsi" w:hAnsiTheme="majorHAnsi" w:cstheme="majorHAnsi"/>
                <w:sz w:val="16"/>
                <w:szCs w:val="16"/>
              </w:rPr>
              <w:t xml:space="preserve">komst. </w:t>
            </w:r>
          </w:p>
          <w:p w:rsidR="003E40E3" w:rsidRPr="00395CBF"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F</w:t>
            </w:r>
            <w:r w:rsidRPr="00395CBF">
              <w:rPr>
                <w:rFonts w:asciiTheme="majorHAnsi" w:hAnsiTheme="majorHAnsi" w:cstheme="majorHAnsi"/>
                <w:sz w:val="16"/>
                <w:szCs w:val="16"/>
              </w:rPr>
              <w:t xml:space="preserve">SR beder om at </w:t>
            </w:r>
            <w:r>
              <w:rPr>
                <w:rFonts w:asciiTheme="majorHAnsi" w:hAnsiTheme="majorHAnsi" w:cstheme="majorHAnsi"/>
                <w:sz w:val="16"/>
                <w:szCs w:val="16"/>
              </w:rPr>
              <w:t xml:space="preserve">få </w:t>
            </w:r>
            <w:r w:rsidRPr="00395CBF">
              <w:rPr>
                <w:rFonts w:asciiTheme="majorHAnsi" w:hAnsiTheme="majorHAnsi" w:cstheme="majorHAnsi"/>
                <w:sz w:val="16"/>
                <w:szCs w:val="16"/>
              </w:rPr>
              <w:t xml:space="preserve">bekræfte, at </w:t>
            </w:r>
            <w:r>
              <w:rPr>
                <w:rFonts w:asciiTheme="majorHAnsi" w:hAnsiTheme="majorHAnsi" w:cstheme="majorHAnsi"/>
                <w:sz w:val="16"/>
                <w:szCs w:val="16"/>
              </w:rPr>
              <w:t xml:space="preserve">adgang til </w:t>
            </w:r>
            <w:r w:rsidRPr="00395CBF">
              <w:rPr>
                <w:rFonts w:asciiTheme="majorHAnsi" w:hAnsiTheme="majorHAnsi" w:cstheme="majorHAnsi"/>
                <w:sz w:val="16"/>
                <w:szCs w:val="16"/>
              </w:rPr>
              <w:t>he</w:t>
            </w:r>
            <w:r w:rsidRPr="00395CBF">
              <w:rPr>
                <w:rFonts w:asciiTheme="majorHAnsi" w:hAnsiTheme="majorHAnsi" w:cstheme="majorHAnsi"/>
                <w:sz w:val="16"/>
                <w:szCs w:val="16"/>
              </w:rPr>
              <w:t>n</w:t>
            </w:r>
            <w:r w:rsidRPr="00395CBF">
              <w:rPr>
                <w:rFonts w:asciiTheme="majorHAnsi" w:hAnsiTheme="majorHAnsi" w:cstheme="majorHAnsi"/>
                <w:sz w:val="16"/>
                <w:szCs w:val="16"/>
              </w:rPr>
              <w:t xml:space="preserve">stand </w:t>
            </w:r>
            <w:r>
              <w:rPr>
                <w:rFonts w:asciiTheme="majorHAnsi" w:hAnsiTheme="majorHAnsi" w:cstheme="majorHAnsi"/>
                <w:sz w:val="16"/>
                <w:szCs w:val="16"/>
              </w:rPr>
              <w:t xml:space="preserve">også gælder, hvor skatten </w:t>
            </w:r>
            <w:r w:rsidRPr="00395CBF">
              <w:rPr>
                <w:rFonts w:asciiTheme="majorHAnsi" w:hAnsiTheme="majorHAnsi" w:cstheme="majorHAnsi"/>
                <w:sz w:val="16"/>
                <w:szCs w:val="16"/>
              </w:rPr>
              <w:t>udløses i forbi</w:t>
            </w:r>
            <w:r w:rsidRPr="00395CBF">
              <w:rPr>
                <w:rFonts w:asciiTheme="majorHAnsi" w:hAnsiTheme="majorHAnsi" w:cstheme="majorHAnsi"/>
                <w:sz w:val="16"/>
                <w:szCs w:val="16"/>
              </w:rPr>
              <w:t>n</w:t>
            </w:r>
            <w:r w:rsidRPr="00395CBF">
              <w:rPr>
                <w:rFonts w:asciiTheme="majorHAnsi" w:hAnsiTheme="majorHAnsi" w:cstheme="majorHAnsi"/>
                <w:sz w:val="16"/>
                <w:szCs w:val="16"/>
              </w:rPr>
              <w:lastRenderedPageBreak/>
              <w:t xml:space="preserve">delse </w:t>
            </w:r>
            <w:r w:rsidR="00A613A2">
              <w:rPr>
                <w:rFonts w:asciiTheme="majorHAnsi" w:hAnsiTheme="majorHAnsi" w:cstheme="majorHAnsi"/>
                <w:sz w:val="16"/>
                <w:szCs w:val="16"/>
              </w:rPr>
              <w:t xml:space="preserve">med </w:t>
            </w:r>
            <w:r w:rsidRPr="00395CBF">
              <w:rPr>
                <w:rFonts w:asciiTheme="majorHAnsi" w:hAnsiTheme="majorHAnsi" w:cstheme="majorHAnsi"/>
                <w:sz w:val="16"/>
                <w:szCs w:val="16"/>
              </w:rPr>
              <w:t>en skattefri grænseoverskridende o</w:t>
            </w:r>
            <w:r w:rsidRPr="00395CBF">
              <w:rPr>
                <w:rFonts w:asciiTheme="majorHAnsi" w:hAnsiTheme="majorHAnsi" w:cstheme="majorHAnsi"/>
                <w:sz w:val="16"/>
                <w:szCs w:val="16"/>
              </w:rPr>
              <w:t>m</w:t>
            </w:r>
            <w:r w:rsidRPr="00395CBF">
              <w:rPr>
                <w:rFonts w:asciiTheme="majorHAnsi" w:hAnsiTheme="majorHAnsi" w:cstheme="majorHAnsi"/>
                <w:sz w:val="16"/>
                <w:szCs w:val="16"/>
              </w:rPr>
              <w:t>strukturering</w:t>
            </w:r>
            <w:r>
              <w:rPr>
                <w:rFonts w:asciiTheme="majorHAnsi" w:hAnsiTheme="majorHAnsi" w:cstheme="majorHAnsi"/>
                <w:sz w:val="16"/>
                <w:szCs w:val="16"/>
              </w:rPr>
              <w:t>, hvor aktiver og pasiver</w:t>
            </w:r>
            <w:r w:rsidRPr="00395CBF">
              <w:rPr>
                <w:rFonts w:asciiTheme="majorHAnsi" w:hAnsiTheme="majorHAnsi" w:cstheme="majorHAnsi"/>
                <w:sz w:val="16"/>
                <w:szCs w:val="16"/>
              </w:rPr>
              <w:t xml:space="preserve"> overføres til et udenlandsk fast driftssted eller et udenlandsk hovedkontor.</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FSR beder om at få bekræftet, at</w:t>
            </w:r>
            <w:r w:rsidRPr="00395CBF">
              <w:rPr>
                <w:rFonts w:asciiTheme="majorHAnsi" w:hAnsiTheme="majorHAnsi" w:cstheme="majorHAnsi"/>
                <w:sz w:val="16"/>
                <w:szCs w:val="16"/>
              </w:rPr>
              <w:t xml:space="preserve"> der kan opnås henstand </w:t>
            </w:r>
            <w:r>
              <w:rPr>
                <w:rFonts w:asciiTheme="majorHAnsi" w:hAnsiTheme="majorHAnsi" w:cstheme="majorHAnsi"/>
                <w:sz w:val="16"/>
                <w:szCs w:val="16"/>
              </w:rPr>
              <w:t>med betaling af den skat, der skal bet</w:t>
            </w:r>
            <w:r>
              <w:rPr>
                <w:rFonts w:asciiTheme="majorHAnsi" w:hAnsiTheme="majorHAnsi" w:cstheme="majorHAnsi"/>
                <w:sz w:val="16"/>
                <w:szCs w:val="16"/>
              </w:rPr>
              <w:t>a</w:t>
            </w:r>
            <w:r>
              <w:rPr>
                <w:rFonts w:asciiTheme="majorHAnsi" w:hAnsiTheme="majorHAnsi" w:cstheme="majorHAnsi"/>
                <w:sz w:val="16"/>
                <w:szCs w:val="16"/>
              </w:rPr>
              <w:t xml:space="preserve">les ved </w:t>
            </w:r>
            <w:r w:rsidRPr="00395CBF">
              <w:rPr>
                <w:rFonts w:asciiTheme="majorHAnsi" w:hAnsiTheme="majorHAnsi" w:cstheme="majorHAnsi"/>
                <w:sz w:val="16"/>
                <w:szCs w:val="16"/>
              </w:rPr>
              <w:t>genbeskatning af underskud</w:t>
            </w:r>
            <w:r>
              <w:rPr>
                <w:rFonts w:asciiTheme="majorHAnsi" w:hAnsiTheme="majorHAnsi" w:cstheme="majorHAnsi"/>
                <w:sz w:val="16"/>
                <w:szCs w:val="16"/>
              </w:rPr>
              <w:t xml:space="preserve"> som følge af </w:t>
            </w:r>
            <w:r w:rsidRPr="00395CBF">
              <w:rPr>
                <w:rFonts w:asciiTheme="majorHAnsi" w:hAnsiTheme="majorHAnsi" w:cstheme="majorHAnsi"/>
                <w:sz w:val="16"/>
                <w:szCs w:val="16"/>
              </w:rPr>
              <w:t>flytning af ledelsens sæde og overdragelse af aktiver og passiver</w:t>
            </w:r>
            <w:r>
              <w:rPr>
                <w:rFonts w:asciiTheme="majorHAnsi" w:hAnsiTheme="majorHAnsi" w:cstheme="majorHAnsi"/>
                <w:sz w:val="16"/>
                <w:szCs w:val="16"/>
              </w:rPr>
              <w:t>, hvor genbeskatningen sker efter de tidligere regler i ligningslovens §§ 33 D og E og de gældende regler i selskabsskattelovens § 31 A, stk. 5</w:t>
            </w:r>
            <w:r w:rsidRPr="00395CBF">
              <w:rPr>
                <w:rFonts w:asciiTheme="majorHAnsi" w:hAnsiTheme="majorHAnsi" w:cstheme="majorHAnsi"/>
                <w:sz w:val="16"/>
                <w:szCs w:val="16"/>
              </w:rPr>
              <w:t xml:space="preserve">. </w:t>
            </w:r>
          </w:p>
          <w:p w:rsidR="003E40E3" w:rsidRPr="00395CBF"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FSR ønsker uddybet, hvornår immaterielle aktiver kan udgøre et fast driftssted, således at en fly</w:t>
            </w:r>
            <w:r>
              <w:rPr>
                <w:rFonts w:asciiTheme="majorHAnsi" w:hAnsiTheme="majorHAnsi" w:cstheme="majorHAnsi"/>
                <w:sz w:val="16"/>
                <w:szCs w:val="16"/>
              </w:rPr>
              <w:t>t</w:t>
            </w:r>
            <w:r>
              <w:rPr>
                <w:rFonts w:asciiTheme="majorHAnsi" w:hAnsiTheme="majorHAnsi" w:cstheme="majorHAnsi"/>
                <w:sz w:val="16"/>
                <w:szCs w:val="16"/>
              </w:rPr>
              <w:t>nings af ledelsens sæde ikke udløser exitbeska</w:t>
            </w:r>
            <w:r>
              <w:rPr>
                <w:rFonts w:asciiTheme="majorHAnsi" w:hAnsiTheme="majorHAnsi" w:cstheme="majorHAnsi"/>
                <w:sz w:val="16"/>
                <w:szCs w:val="16"/>
              </w:rPr>
              <w:t>t</w:t>
            </w:r>
            <w:r>
              <w:rPr>
                <w:rFonts w:asciiTheme="majorHAnsi" w:hAnsiTheme="majorHAnsi" w:cstheme="majorHAnsi"/>
                <w:sz w:val="16"/>
                <w:szCs w:val="16"/>
              </w:rPr>
              <w:t>ning af de immaterielle aktiver</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 xml:space="preserve">FSR </w:t>
            </w:r>
            <w:r w:rsidRPr="00395CBF">
              <w:rPr>
                <w:rFonts w:asciiTheme="majorHAnsi" w:hAnsiTheme="majorHAnsi" w:cstheme="majorHAnsi"/>
                <w:sz w:val="16"/>
                <w:szCs w:val="16"/>
              </w:rPr>
              <w:t>bede</w:t>
            </w:r>
            <w:r>
              <w:rPr>
                <w:rFonts w:asciiTheme="majorHAnsi" w:hAnsiTheme="majorHAnsi" w:cstheme="majorHAnsi"/>
                <w:sz w:val="16"/>
                <w:szCs w:val="16"/>
              </w:rPr>
              <w:t xml:space="preserve">r om at få </w:t>
            </w:r>
            <w:r w:rsidRPr="00395CBF">
              <w:rPr>
                <w:rFonts w:asciiTheme="majorHAnsi" w:hAnsiTheme="majorHAnsi" w:cstheme="majorHAnsi"/>
                <w:sz w:val="16"/>
                <w:szCs w:val="16"/>
              </w:rPr>
              <w:t>bekræftet, at den foreslåede regel også kan anvendes af skattepligtige omfattet af selskabsskattelovens § 2</w:t>
            </w:r>
            <w:r>
              <w:rPr>
                <w:rFonts w:asciiTheme="majorHAnsi" w:hAnsiTheme="majorHAnsi" w:cstheme="majorHAnsi"/>
                <w:sz w:val="16"/>
                <w:szCs w:val="16"/>
              </w:rPr>
              <w:t>.</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 xml:space="preserve">FSR </w:t>
            </w:r>
            <w:r w:rsidRPr="00395CBF">
              <w:rPr>
                <w:rFonts w:asciiTheme="majorHAnsi" w:hAnsiTheme="majorHAnsi" w:cstheme="majorHAnsi"/>
                <w:sz w:val="16"/>
                <w:szCs w:val="16"/>
              </w:rPr>
              <w:t>bede</w:t>
            </w:r>
            <w:r>
              <w:rPr>
                <w:rFonts w:asciiTheme="majorHAnsi" w:hAnsiTheme="majorHAnsi" w:cstheme="majorHAnsi"/>
                <w:sz w:val="16"/>
                <w:szCs w:val="16"/>
              </w:rPr>
              <w:t xml:space="preserve">r om at få </w:t>
            </w:r>
            <w:r w:rsidRPr="00395CBF">
              <w:rPr>
                <w:rFonts w:asciiTheme="majorHAnsi" w:hAnsiTheme="majorHAnsi" w:cstheme="majorHAnsi"/>
                <w:sz w:val="16"/>
                <w:szCs w:val="16"/>
              </w:rPr>
              <w:t>bekræftet,</w:t>
            </w:r>
            <w:r>
              <w:rPr>
                <w:rFonts w:asciiTheme="majorHAnsi" w:hAnsiTheme="majorHAnsi" w:cstheme="majorHAnsi"/>
                <w:sz w:val="16"/>
                <w:szCs w:val="16"/>
              </w:rPr>
              <w:t xml:space="preserve"> at bestemmelsen om henstand </w:t>
            </w:r>
            <w:r w:rsidRPr="00395CBF">
              <w:rPr>
                <w:rFonts w:asciiTheme="majorHAnsi" w:hAnsiTheme="majorHAnsi" w:cstheme="majorHAnsi"/>
                <w:sz w:val="16"/>
                <w:szCs w:val="16"/>
              </w:rPr>
              <w:t>også kan anvendes i forhold til den ”udskudte” beskatning, der sker efter selskab</w:t>
            </w:r>
            <w:r w:rsidRPr="00395CBF">
              <w:rPr>
                <w:rFonts w:asciiTheme="majorHAnsi" w:hAnsiTheme="majorHAnsi" w:cstheme="majorHAnsi"/>
                <w:sz w:val="16"/>
                <w:szCs w:val="16"/>
              </w:rPr>
              <w:t>s</w:t>
            </w:r>
            <w:r w:rsidRPr="00395CBF">
              <w:rPr>
                <w:rFonts w:asciiTheme="majorHAnsi" w:hAnsiTheme="majorHAnsi" w:cstheme="majorHAnsi"/>
                <w:sz w:val="16"/>
                <w:szCs w:val="16"/>
              </w:rPr>
              <w:t>skattelovens § 8, stk. 5.</w:t>
            </w:r>
          </w:p>
          <w:p w:rsidR="003E40E3"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 xml:space="preserve">FSR foreslår en præcisering af bemærkningerne </w:t>
            </w:r>
            <w:proofErr w:type="spellStart"/>
            <w:r>
              <w:rPr>
                <w:rFonts w:asciiTheme="majorHAnsi" w:hAnsiTheme="majorHAnsi" w:cstheme="majorHAnsi"/>
                <w:sz w:val="16"/>
                <w:szCs w:val="16"/>
              </w:rPr>
              <w:t>fsva</w:t>
            </w:r>
            <w:proofErr w:type="spellEnd"/>
            <w:r>
              <w:rPr>
                <w:rFonts w:asciiTheme="majorHAnsi" w:hAnsiTheme="majorHAnsi" w:cstheme="majorHAnsi"/>
                <w:sz w:val="16"/>
                <w:szCs w:val="16"/>
              </w:rPr>
              <w:t>. omtalen af, at passiver ikke skal indgå ved opgørelsen af årets afkast, men derimod altid omfattes af minimumssatsen på 1/7.</w:t>
            </w: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sidRPr="00395CBF">
              <w:rPr>
                <w:rFonts w:asciiTheme="majorHAnsi" w:hAnsiTheme="majorHAnsi" w:cstheme="majorHAnsi"/>
                <w:sz w:val="16"/>
                <w:szCs w:val="16"/>
                <w:u w:val="single"/>
              </w:rPr>
              <w:t>Selskabsskattelovens § 26, stk. 3</w:t>
            </w:r>
          </w:p>
          <w:p w:rsidR="003E40E3" w:rsidRPr="00395CBF"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FSR beder om at få uddybet, hvilke andre forhold, der kan begrunde</w:t>
            </w:r>
            <w:r w:rsidRPr="00395CBF">
              <w:rPr>
                <w:rFonts w:asciiTheme="majorHAnsi" w:hAnsiTheme="majorHAnsi" w:cstheme="majorHAnsi"/>
                <w:sz w:val="16"/>
                <w:szCs w:val="16"/>
              </w:rPr>
              <w:t xml:space="preserve">, at der ses bort fra </w:t>
            </w:r>
            <w:r>
              <w:rPr>
                <w:rFonts w:asciiTheme="majorHAnsi" w:hAnsiTheme="majorHAnsi" w:cstheme="majorHAnsi"/>
                <w:sz w:val="16"/>
                <w:szCs w:val="16"/>
              </w:rPr>
              <w:t xml:space="preserve">en </w:t>
            </w:r>
            <w:r w:rsidRPr="00395CBF">
              <w:rPr>
                <w:rFonts w:asciiTheme="majorHAnsi" w:hAnsiTheme="majorHAnsi" w:cstheme="majorHAnsi"/>
                <w:sz w:val="16"/>
                <w:szCs w:val="16"/>
              </w:rPr>
              <w:t>fristove</w:t>
            </w:r>
            <w:r w:rsidRPr="00395CBF">
              <w:rPr>
                <w:rFonts w:asciiTheme="majorHAnsi" w:hAnsiTheme="majorHAnsi" w:cstheme="majorHAnsi"/>
                <w:sz w:val="16"/>
                <w:szCs w:val="16"/>
              </w:rPr>
              <w:t>r</w:t>
            </w:r>
            <w:r w:rsidRPr="00395CBF">
              <w:rPr>
                <w:rFonts w:asciiTheme="majorHAnsi" w:hAnsiTheme="majorHAnsi" w:cstheme="majorHAnsi"/>
                <w:sz w:val="16"/>
                <w:szCs w:val="16"/>
              </w:rPr>
              <w:t>skridelse</w:t>
            </w:r>
            <w:r>
              <w:rPr>
                <w:rFonts w:asciiTheme="majorHAnsi" w:hAnsiTheme="majorHAnsi" w:cstheme="majorHAnsi"/>
                <w:sz w:val="16"/>
                <w:szCs w:val="16"/>
              </w:rPr>
              <w:t xml:space="preserve">, særligt under hensyntagen til, at det typisk vil være </w:t>
            </w:r>
            <w:r w:rsidRPr="00395CBF">
              <w:rPr>
                <w:rFonts w:asciiTheme="majorHAnsi" w:hAnsiTheme="majorHAnsi" w:cstheme="majorHAnsi"/>
                <w:sz w:val="16"/>
                <w:szCs w:val="16"/>
              </w:rPr>
              <w:t>juridiske personer, som vil være omfattet af nærværende forslag.</w:t>
            </w: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sidRPr="00395CBF">
              <w:rPr>
                <w:rFonts w:asciiTheme="majorHAnsi" w:hAnsiTheme="majorHAnsi" w:cstheme="majorHAnsi"/>
                <w:sz w:val="16"/>
                <w:szCs w:val="16"/>
                <w:u w:val="single"/>
              </w:rPr>
              <w:t>Selskabsskattelovens § 27, stk. 1</w:t>
            </w:r>
          </w:p>
          <w:p w:rsidR="003E40E3" w:rsidRPr="00395CBF"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 xml:space="preserve">FSR mener, at adgangen til henstand med betaling af exitskatten, også bør omfatte den situation, hvor der ikke udløses en betalbar exitskat, </w:t>
            </w:r>
            <w:r w:rsidRPr="00395CBF">
              <w:rPr>
                <w:rFonts w:asciiTheme="majorHAnsi" w:hAnsiTheme="majorHAnsi" w:cstheme="majorHAnsi"/>
                <w:sz w:val="16"/>
                <w:szCs w:val="16"/>
              </w:rPr>
              <w:t xml:space="preserve">fordi selskabet har aktuelle eller fremførte underskud. </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D40120" w:rsidRDefault="00D40120"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sidRPr="00395CBF">
              <w:rPr>
                <w:rFonts w:asciiTheme="majorHAnsi" w:hAnsiTheme="majorHAnsi" w:cstheme="majorHAnsi"/>
                <w:sz w:val="16"/>
                <w:szCs w:val="16"/>
              </w:rPr>
              <w:t xml:space="preserve">I denne forbindelse bedes </w:t>
            </w:r>
            <w:r>
              <w:rPr>
                <w:rFonts w:asciiTheme="majorHAnsi" w:hAnsiTheme="majorHAnsi" w:cstheme="majorHAnsi"/>
                <w:sz w:val="16"/>
                <w:szCs w:val="16"/>
              </w:rPr>
              <w:t>endvidere om en</w:t>
            </w:r>
            <w:r w:rsidRPr="00395CBF">
              <w:rPr>
                <w:rFonts w:asciiTheme="majorHAnsi" w:hAnsiTheme="majorHAnsi" w:cstheme="majorHAnsi"/>
                <w:sz w:val="16"/>
                <w:szCs w:val="16"/>
              </w:rPr>
              <w:t xml:space="preserve"> </w:t>
            </w:r>
            <w:r>
              <w:rPr>
                <w:rFonts w:asciiTheme="majorHAnsi" w:hAnsiTheme="majorHAnsi" w:cstheme="majorHAnsi"/>
                <w:sz w:val="16"/>
                <w:szCs w:val="16"/>
              </w:rPr>
              <w:t>n</w:t>
            </w:r>
            <w:r w:rsidRPr="00395CBF">
              <w:rPr>
                <w:rFonts w:asciiTheme="majorHAnsi" w:hAnsiTheme="majorHAnsi" w:cstheme="majorHAnsi"/>
                <w:sz w:val="16"/>
                <w:szCs w:val="16"/>
              </w:rPr>
              <w:t>æ</w:t>
            </w:r>
            <w:r w:rsidRPr="00395CBF">
              <w:rPr>
                <w:rFonts w:asciiTheme="majorHAnsi" w:hAnsiTheme="majorHAnsi" w:cstheme="majorHAnsi"/>
                <w:sz w:val="16"/>
                <w:szCs w:val="16"/>
              </w:rPr>
              <w:t>r</w:t>
            </w:r>
            <w:r w:rsidRPr="00395CBF">
              <w:rPr>
                <w:rFonts w:asciiTheme="majorHAnsi" w:hAnsiTheme="majorHAnsi" w:cstheme="majorHAnsi"/>
                <w:sz w:val="16"/>
                <w:szCs w:val="16"/>
              </w:rPr>
              <w:t>mere redegøre</w:t>
            </w:r>
            <w:r>
              <w:rPr>
                <w:rFonts w:asciiTheme="majorHAnsi" w:hAnsiTheme="majorHAnsi" w:cstheme="majorHAnsi"/>
                <w:sz w:val="16"/>
                <w:szCs w:val="16"/>
              </w:rPr>
              <w:t xml:space="preserve">lse </w:t>
            </w:r>
            <w:r w:rsidRPr="00395CBF">
              <w:rPr>
                <w:rFonts w:asciiTheme="majorHAnsi" w:hAnsiTheme="majorHAnsi" w:cstheme="majorHAnsi"/>
                <w:sz w:val="16"/>
                <w:szCs w:val="16"/>
              </w:rPr>
              <w:t>for, hvordan den skat, der kan opnås henstand med</w:t>
            </w:r>
            <w:r w:rsidR="00A613A2">
              <w:rPr>
                <w:rFonts w:asciiTheme="majorHAnsi" w:hAnsiTheme="majorHAnsi" w:cstheme="majorHAnsi"/>
                <w:sz w:val="16"/>
                <w:szCs w:val="16"/>
              </w:rPr>
              <w:t>,</w:t>
            </w:r>
            <w:r w:rsidRPr="00395CBF">
              <w:rPr>
                <w:rFonts w:asciiTheme="majorHAnsi" w:hAnsiTheme="majorHAnsi" w:cstheme="majorHAnsi"/>
                <w:sz w:val="16"/>
                <w:szCs w:val="16"/>
              </w:rPr>
              <w:t xml:space="preserve"> opgøres, fx i relation til </w:t>
            </w:r>
            <w:proofErr w:type="spellStart"/>
            <w:r w:rsidRPr="00395CBF">
              <w:rPr>
                <w:rFonts w:asciiTheme="majorHAnsi" w:hAnsiTheme="majorHAnsi" w:cstheme="majorHAnsi"/>
                <w:sz w:val="16"/>
                <w:szCs w:val="16"/>
              </w:rPr>
              <w:t>bortseelse</w:t>
            </w:r>
            <w:proofErr w:type="spellEnd"/>
            <w:r w:rsidRPr="00395CBF">
              <w:rPr>
                <w:rFonts w:asciiTheme="majorHAnsi" w:hAnsiTheme="majorHAnsi" w:cstheme="majorHAnsi"/>
                <w:sz w:val="16"/>
                <w:szCs w:val="16"/>
              </w:rPr>
              <w:t xml:space="preserve"> for underskud efter fx selskabsskattel</w:t>
            </w:r>
            <w:r w:rsidRPr="00395CBF">
              <w:rPr>
                <w:rFonts w:asciiTheme="majorHAnsi" w:hAnsiTheme="majorHAnsi" w:cstheme="majorHAnsi"/>
                <w:sz w:val="16"/>
                <w:szCs w:val="16"/>
              </w:rPr>
              <w:t>o</w:t>
            </w:r>
            <w:r w:rsidRPr="00395CBF">
              <w:rPr>
                <w:rFonts w:asciiTheme="majorHAnsi" w:hAnsiTheme="majorHAnsi" w:cstheme="majorHAnsi"/>
                <w:sz w:val="16"/>
                <w:szCs w:val="16"/>
              </w:rPr>
              <w:t>vens § 31, stk. 9, og efter lempelse for fiktiv skat, jf. ligningslovens § 33.</w:t>
            </w:r>
          </w:p>
          <w:p w:rsidR="003E40E3"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sidRPr="00395CBF">
              <w:rPr>
                <w:rFonts w:asciiTheme="majorHAnsi" w:hAnsiTheme="majorHAnsi" w:cstheme="majorHAnsi"/>
                <w:sz w:val="16"/>
                <w:szCs w:val="16"/>
              </w:rPr>
              <w:t xml:space="preserve">FSR spørger om, </w:t>
            </w:r>
            <w:r>
              <w:rPr>
                <w:rFonts w:asciiTheme="majorHAnsi" w:hAnsiTheme="majorHAnsi" w:cstheme="majorHAnsi"/>
                <w:sz w:val="16"/>
                <w:szCs w:val="16"/>
              </w:rPr>
              <w:t xml:space="preserve">hvorvidt kravet om afdrag i takt med, at der oppebæres </w:t>
            </w:r>
            <w:r w:rsidRPr="00395CBF">
              <w:rPr>
                <w:rFonts w:asciiTheme="majorHAnsi" w:hAnsiTheme="majorHAnsi" w:cstheme="majorHAnsi"/>
                <w:sz w:val="16"/>
                <w:szCs w:val="16"/>
              </w:rPr>
              <w:t xml:space="preserve">indtægter, som ville være skattepligtige </w:t>
            </w:r>
            <w:r w:rsidRPr="00395CBF">
              <w:rPr>
                <w:rFonts w:asciiTheme="majorHAnsi" w:hAnsiTheme="majorHAnsi" w:cstheme="majorHAnsi"/>
                <w:i/>
                <w:sz w:val="16"/>
                <w:szCs w:val="16"/>
              </w:rPr>
              <w:t>”hvis aktivet fortsat havde været omfattet af dansk beskatning.”</w:t>
            </w:r>
            <w:r w:rsidRPr="009B3892">
              <w:rPr>
                <w:rFonts w:asciiTheme="majorHAnsi" w:hAnsiTheme="majorHAnsi" w:cstheme="majorHAnsi"/>
                <w:sz w:val="16"/>
                <w:szCs w:val="16"/>
              </w:rPr>
              <w:t>,</w:t>
            </w:r>
            <w:r w:rsidRPr="00395CBF">
              <w:rPr>
                <w:rFonts w:asciiTheme="majorHAnsi" w:hAnsiTheme="majorHAnsi" w:cstheme="majorHAnsi"/>
                <w:sz w:val="16"/>
                <w:szCs w:val="16"/>
              </w:rPr>
              <w:t xml:space="preserve"> betyder, at det </w:t>
            </w:r>
            <w:r w:rsidRPr="00395CBF">
              <w:rPr>
                <w:rFonts w:asciiTheme="majorHAnsi" w:hAnsiTheme="majorHAnsi" w:cstheme="majorHAnsi"/>
                <w:sz w:val="16"/>
                <w:szCs w:val="16"/>
              </w:rPr>
              <w:lastRenderedPageBreak/>
              <w:t>påvirker det udenlandske selskabs afdragsprofil, hvis skattereglerne lempes eller skærpes efter, at et udenlandsk selskab har flyttet sit danske faste driftssted, eller om det er gældende ret på frafly</w:t>
            </w:r>
            <w:r w:rsidRPr="00395CBF">
              <w:rPr>
                <w:rFonts w:asciiTheme="majorHAnsi" w:hAnsiTheme="majorHAnsi" w:cstheme="majorHAnsi"/>
                <w:sz w:val="16"/>
                <w:szCs w:val="16"/>
              </w:rPr>
              <w:t>t</w:t>
            </w:r>
            <w:r w:rsidRPr="00395CBF">
              <w:rPr>
                <w:rFonts w:asciiTheme="majorHAnsi" w:hAnsiTheme="majorHAnsi" w:cstheme="majorHAnsi"/>
                <w:sz w:val="16"/>
                <w:szCs w:val="16"/>
              </w:rPr>
              <w:t>ningstidspunktet, der vil være styrende for a</w:t>
            </w:r>
            <w:r w:rsidRPr="00395CBF">
              <w:rPr>
                <w:rFonts w:asciiTheme="majorHAnsi" w:hAnsiTheme="majorHAnsi" w:cstheme="majorHAnsi"/>
                <w:sz w:val="16"/>
                <w:szCs w:val="16"/>
              </w:rPr>
              <w:t>f</w:t>
            </w:r>
            <w:r w:rsidRPr="00395CBF">
              <w:rPr>
                <w:rFonts w:asciiTheme="majorHAnsi" w:hAnsiTheme="majorHAnsi" w:cstheme="majorHAnsi"/>
                <w:sz w:val="16"/>
                <w:szCs w:val="16"/>
              </w:rPr>
              <w:t>dragsprofilen.</w:t>
            </w: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sidRPr="00395CBF">
              <w:rPr>
                <w:rFonts w:asciiTheme="majorHAnsi" w:hAnsiTheme="majorHAnsi" w:cstheme="majorHAnsi"/>
                <w:sz w:val="16"/>
                <w:szCs w:val="16"/>
                <w:u w:val="single"/>
              </w:rPr>
              <w:t>Selskabsskattelovens § 27, stk. 2</w:t>
            </w: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FSR mener, at det bør præciseres hvilken virkso</w:t>
            </w:r>
            <w:r>
              <w:rPr>
                <w:rFonts w:asciiTheme="majorHAnsi" w:hAnsiTheme="majorHAnsi" w:cstheme="majorHAnsi"/>
                <w:sz w:val="16"/>
                <w:szCs w:val="16"/>
              </w:rPr>
              <w:t>m</w:t>
            </w:r>
            <w:r>
              <w:rPr>
                <w:rFonts w:asciiTheme="majorHAnsi" w:hAnsiTheme="majorHAnsi" w:cstheme="majorHAnsi"/>
                <w:sz w:val="16"/>
                <w:szCs w:val="16"/>
              </w:rPr>
              <w:t xml:space="preserve">hed, der skal anses for licenstager i forhold til opgørelsen af den beregnede indtægt fra </w:t>
            </w:r>
            <w:r w:rsidRPr="00395CBF">
              <w:rPr>
                <w:rFonts w:asciiTheme="majorHAnsi" w:hAnsiTheme="majorHAnsi" w:cstheme="majorHAnsi"/>
                <w:sz w:val="16"/>
                <w:szCs w:val="16"/>
              </w:rPr>
              <w:t xml:space="preserve">en fikseret udnyttelse af de overførte aktiver. </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D40120" w:rsidRDefault="00D40120"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 xml:space="preserve">Mere generelt mener </w:t>
            </w:r>
            <w:r w:rsidRPr="00395CBF">
              <w:rPr>
                <w:rFonts w:asciiTheme="majorHAnsi" w:hAnsiTheme="majorHAnsi" w:cstheme="majorHAnsi"/>
                <w:sz w:val="16"/>
                <w:szCs w:val="16"/>
              </w:rPr>
              <w:t>FSR</w:t>
            </w:r>
            <w:r>
              <w:rPr>
                <w:rFonts w:asciiTheme="majorHAnsi" w:hAnsiTheme="majorHAnsi" w:cstheme="majorHAnsi"/>
                <w:sz w:val="16"/>
                <w:szCs w:val="16"/>
              </w:rPr>
              <w:t>, at den pågældende regel om afdrag i takt med</w:t>
            </w:r>
            <w:r w:rsidR="00097ED1">
              <w:rPr>
                <w:rFonts w:asciiTheme="majorHAnsi" w:hAnsiTheme="majorHAnsi" w:cstheme="majorHAnsi"/>
                <w:sz w:val="16"/>
                <w:szCs w:val="16"/>
              </w:rPr>
              <w:t>,</w:t>
            </w:r>
            <w:r>
              <w:rPr>
                <w:rFonts w:asciiTheme="majorHAnsi" w:hAnsiTheme="majorHAnsi" w:cstheme="majorHAnsi"/>
                <w:sz w:val="16"/>
                <w:szCs w:val="16"/>
              </w:rPr>
              <w:t xml:space="preserve"> at der oppebæres indtægter af de overførte aktiver, bør </w:t>
            </w:r>
            <w:r w:rsidRPr="00395CBF">
              <w:rPr>
                <w:rFonts w:asciiTheme="majorHAnsi" w:hAnsiTheme="majorHAnsi" w:cstheme="majorHAnsi"/>
                <w:sz w:val="16"/>
                <w:szCs w:val="16"/>
              </w:rPr>
              <w:t>udgå, idet de</w:t>
            </w:r>
            <w:r>
              <w:rPr>
                <w:rFonts w:asciiTheme="majorHAnsi" w:hAnsiTheme="majorHAnsi" w:cstheme="majorHAnsi"/>
                <w:sz w:val="16"/>
                <w:szCs w:val="16"/>
              </w:rPr>
              <w:t>n</w:t>
            </w:r>
            <w:r w:rsidRPr="00395CBF">
              <w:rPr>
                <w:rFonts w:asciiTheme="majorHAnsi" w:hAnsiTheme="majorHAnsi" w:cstheme="majorHAnsi"/>
                <w:sz w:val="16"/>
                <w:szCs w:val="16"/>
              </w:rPr>
              <w:t xml:space="preserve"> i praksis vil have ringe betydning, og </w:t>
            </w:r>
            <w:r>
              <w:rPr>
                <w:rFonts w:asciiTheme="majorHAnsi" w:hAnsiTheme="majorHAnsi" w:cstheme="majorHAnsi"/>
                <w:sz w:val="16"/>
                <w:szCs w:val="16"/>
              </w:rPr>
              <w:t>i øvrigt</w:t>
            </w:r>
            <w:r w:rsidRPr="00395CBF">
              <w:rPr>
                <w:rFonts w:asciiTheme="majorHAnsi" w:hAnsiTheme="majorHAnsi" w:cstheme="majorHAnsi"/>
                <w:sz w:val="16"/>
                <w:szCs w:val="16"/>
              </w:rPr>
              <w:t xml:space="preserve"> indebære en unødvendig komplikation af rege</w:t>
            </w:r>
            <w:r w:rsidRPr="00395CBF">
              <w:rPr>
                <w:rFonts w:asciiTheme="majorHAnsi" w:hAnsiTheme="majorHAnsi" w:cstheme="majorHAnsi"/>
                <w:sz w:val="16"/>
                <w:szCs w:val="16"/>
              </w:rPr>
              <w:t>l</w:t>
            </w:r>
            <w:r w:rsidRPr="00395CBF">
              <w:rPr>
                <w:rFonts w:asciiTheme="majorHAnsi" w:hAnsiTheme="majorHAnsi" w:cstheme="majorHAnsi"/>
                <w:sz w:val="16"/>
                <w:szCs w:val="16"/>
              </w:rPr>
              <w:t>sættet.</w:t>
            </w:r>
            <w:r>
              <w:rPr>
                <w:rFonts w:asciiTheme="majorHAnsi" w:hAnsiTheme="majorHAnsi" w:cstheme="majorHAnsi"/>
                <w:sz w:val="16"/>
                <w:szCs w:val="16"/>
              </w:rPr>
              <w:t xml:space="preserve"> </w:t>
            </w:r>
            <w:r w:rsidRPr="00395CBF">
              <w:rPr>
                <w:rFonts w:asciiTheme="majorHAnsi" w:hAnsiTheme="majorHAnsi" w:cstheme="majorHAnsi"/>
                <w:sz w:val="16"/>
                <w:szCs w:val="16"/>
              </w:rPr>
              <w:t>Herudover forekommer reglen at være direkte i strid med EU-Domstolens praksis, hvore</w:t>
            </w:r>
            <w:r w:rsidRPr="00395CBF">
              <w:rPr>
                <w:rFonts w:asciiTheme="majorHAnsi" w:hAnsiTheme="majorHAnsi" w:cstheme="majorHAnsi"/>
                <w:sz w:val="16"/>
                <w:szCs w:val="16"/>
              </w:rPr>
              <w:t>f</w:t>
            </w:r>
            <w:r w:rsidRPr="00395CBF">
              <w:rPr>
                <w:rFonts w:asciiTheme="majorHAnsi" w:hAnsiTheme="majorHAnsi" w:cstheme="majorHAnsi"/>
                <w:sz w:val="16"/>
                <w:szCs w:val="16"/>
              </w:rPr>
              <w:t>ter en exitbeskatning af aktiver, der er bestemt til at blive afhændet, skal udskydes indtil realisation.</w:t>
            </w:r>
          </w:p>
          <w:p w:rsidR="003E40E3"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rPr>
                <w:rFonts w:asciiTheme="majorHAnsi" w:hAnsiTheme="majorHAnsi" w:cstheme="majorHAnsi"/>
                <w:sz w:val="16"/>
                <w:szCs w:val="16"/>
                <w:u w:val="single"/>
              </w:rPr>
            </w:pPr>
            <w:r w:rsidRPr="00395CBF">
              <w:rPr>
                <w:rFonts w:asciiTheme="majorHAnsi" w:hAnsiTheme="majorHAnsi" w:cstheme="majorHAnsi"/>
                <w:sz w:val="16"/>
                <w:szCs w:val="16"/>
                <w:u w:val="single"/>
              </w:rPr>
              <w:t xml:space="preserve">Selskabsskattelovens § 27, stk. 3 </w:t>
            </w:r>
          </w:p>
          <w:p w:rsidR="003E40E3" w:rsidRDefault="003E40E3" w:rsidP="00ED0BE5">
            <w:pPr>
              <w:rPr>
                <w:rFonts w:asciiTheme="majorHAnsi" w:hAnsiTheme="majorHAnsi" w:cstheme="majorHAnsi"/>
                <w:sz w:val="16"/>
                <w:szCs w:val="16"/>
              </w:rPr>
            </w:pPr>
            <w:r>
              <w:rPr>
                <w:rFonts w:asciiTheme="majorHAnsi" w:hAnsiTheme="majorHAnsi" w:cstheme="majorHAnsi"/>
                <w:sz w:val="16"/>
                <w:szCs w:val="16"/>
              </w:rPr>
              <w:t>FSR mener, at det i forhold til indgangsværdier, hvor et exitbeskattet aktiv eller passiv igen omfa</w:t>
            </w:r>
            <w:r>
              <w:rPr>
                <w:rFonts w:asciiTheme="majorHAnsi" w:hAnsiTheme="majorHAnsi" w:cstheme="majorHAnsi"/>
                <w:sz w:val="16"/>
                <w:szCs w:val="16"/>
              </w:rPr>
              <w:t>t</w:t>
            </w:r>
            <w:r>
              <w:rPr>
                <w:rFonts w:asciiTheme="majorHAnsi" w:hAnsiTheme="majorHAnsi" w:cstheme="majorHAnsi"/>
                <w:sz w:val="16"/>
                <w:szCs w:val="16"/>
              </w:rPr>
              <w:t>tes af dansk beskatningskompetence, bør præcis</w:t>
            </w:r>
            <w:r>
              <w:rPr>
                <w:rFonts w:asciiTheme="majorHAnsi" w:hAnsiTheme="majorHAnsi" w:cstheme="majorHAnsi"/>
                <w:sz w:val="16"/>
                <w:szCs w:val="16"/>
              </w:rPr>
              <w:t>e</w:t>
            </w:r>
            <w:r>
              <w:rPr>
                <w:rFonts w:asciiTheme="majorHAnsi" w:hAnsiTheme="majorHAnsi" w:cstheme="majorHAnsi"/>
                <w:sz w:val="16"/>
                <w:szCs w:val="16"/>
              </w:rPr>
              <w:t>res, at der skal ske en regulering af handelsværd</w:t>
            </w:r>
            <w:r>
              <w:rPr>
                <w:rFonts w:asciiTheme="majorHAnsi" w:hAnsiTheme="majorHAnsi" w:cstheme="majorHAnsi"/>
                <w:sz w:val="16"/>
                <w:szCs w:val="16"/>
              </w:rPr>
              <w:t>i</w:t>
            </w:r>
            <w:r>
              <w:rPr>
                <w:rFonts w:asciiTheme="majorHAnsi" w:hAnsiTheme="majorHAnsi" w:cstheme="majorHAnsi"/>
                <w:sz w:val="16"/>
                <w:szCs w:val="16"/>
              </w:rPr>
              <w:t xml:space="preserve">en i relation til afskrivningsloven. </w:t>
            </w:r>
            <w:r w:rsidRPr="00395CBF">
              <w:rPr>
                <w:rFonts w:asciiTheme="majorHAnsi" w:hAnsiTheme="majorHAnsi" w:cstheme="majorHAnsi"/>
                <w:sz w:val="16"/>
                <w:szCs w:val="16"/>
              </w:rPr>
              <w:t xml:space="preserve"> </w:t>
            </w: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r>
              <w:rPr>
                <w:rFonts w:asciiTheme="majorHAnsi" w:hAnsiTheme="majorHAnsi" w:cstheme="majorHAnsi"/>
                <w:sz w:val="16"/>
                <w:szCs w:val="16"/>
              </w:rPr>
              <w:t>FSR beder om at få bekræftet, at hvor der sker (tilbage)overførsel, så kan aktiverne og passiverne anses for dansk beskattet, således at de efter selskabsskattelovens § 8 B kan få tillagt en in</w:t>
            </w:r>
            <w:r>
              <w:rPr>
                <w:rFonts w:asciiTheme="majorHAnsi" w:hAnsiTheme="majorHAnsi" w:cstheme="majorHAnsi"/>
                <w:sz w:val="16"/>
                <w:szCs w:val="16"/>
              </w:rPr>
              <w:t>d</w:t>
            </w:r>
            <w:r>
              <w:rPr>
                <w:rFonts w:asciiTheme="majorHAnsi" w:hAnsiTheme="majorHAnsi" w:cstheme="majorHAnsi"/>
                <w:sz w:val="16"/>
                <w:szCs w:val="16"/>
              </w:rPr>
              <w:t>gangsværdi svarende til handelsværdien på tid</w:t>
            </w:r>
            <w:r>
              <w:rPr>
                <w:rFonts w:asciiTheme="majorHAnsi" w:hAnsiTheme="majorHAnsi" w:cstheme="majorHAnsi"/>
                <w:sz w:val="16"/>
                <w:szCs w:val="16"/>
              </w:rPr>
              <w:t>s</w:t>
            </w:r>
            <w:r>
              <w:rPr>
                <w:rFonts w:asciiTheme="majorHAnsi" w:hAnsiTheme="majorHAnsi" w:cstheme="majorHAnsi"/>
                <w:sz w:val="16"/>
                <w:szCs w:val="16"/>
              </w:rPr>
              <w:t>punktet for tilbageoverførslen.</w:t>
            </w: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Pr="00B67D31" w:rsidRDefault="003E40E3" w:rsidP="00ED0BE5">
            <w:pPr>
              <w:rPr>
                <w:rFonts w:asciiTheme="majorHAnsi" w:hAnsiTheme="majorHAnsi" w:cstheme="majorHAnsi"/>
                <w:sz w:val="16"/>
                <w:szCs w:val="16"/>
                <w:u w:val="single"/>
              </w:rPr>
            </w:pPr>
            <w:r w:rsidRPr="00B67D31">
              <w:rPr>
                <w:rFonts w:asciiTheme="majorHAnsi" w:hAnsiTheme="majorHAnsi" w:cstheme="majorHAnsi"/>
                <w:sz w:val="16"/>
                <w:szCs w:val="16"/>
                <w:u w:val="single"/>
              </w:rPr>
              <w:t xml:space="preserve">Selskabsskattelovens § 27, stk. 4 </w:t>
            </w:r>
          </w:p>
          <w:p w:rsidR="003E40E3" w:rsidRPr="00B67D31" w:rsidRDefault="003E40E3" w:rsidP="00ED0BE5">
            <w:pPr>
              <w:rPr>
                <w:rFonts w:asciiTheme="majorHAnsi" w:hAnsiTheme="majorHAnsi" w:cstheme="majorHAnsi"/>
                <w:sz w:val="16"/>
                <w:szCs w:val="16"/>
              </w:rPr>
            </w:pPr>
            <w:r>
              <w:rPr>
                <w:rFonts w:asciiTheme="majorHAnsi" w:hAnsiTheme="majorHAnsi" w:cstheme="majorHAnsi"/>
                <w:sz w:val="16"/>
                <w:szCs w:val="16"/>
              </w:rPr>
              <w:t>FSR beder om at få bekræftet, at en overførsel af aktiver og passiver indenfor EU/EØS ikke anses for en afståelse, som har betydning for afdrag på henstandssaldoen.</w:t>
            </w:r>
            <w:r w:rsidRPr="00B67D31">
              <w:rPr>
                <w:rFonts w:asciiTheme="majorHAnsi" w:hAnsiTheme="majorHAnsi" w:cstheme="majorHAnsi"/>
                <w:sz w:val="16"/>
                <w:szCs w:val="16"/>
              </w:rPr>
              <w:t xml:space="preserve"> </w:t>
            </w:r>
          </w:p>
          <w:p w:rsidR="003E40E3" w:rsidRDefault="003E40E3" w:rsidP="00ED0BE5">
            <w:pPr>
              <w:rPr>
                <w:rFonts w:asciiTheme="majorHAnsi" w:hAnsiTheme="majorHAnsi" w:cstheme="majorHAnsi"/>
                <w:sz w:val="16"/>
                <w:szCs w:val="16"/>
              </w:rPr>
            </w:pPr>
          </w:p>
          <w:p w:rsidR="003E40E3" w:rsidRPr="0045395C" w:rsidRDefault="003E40E3" w:rsidP="00ED0BE5">
            <w:pPr>
              <w:rPr>
                <w:rFonts w:asciiTheme="majorHAnsi" w:hAnsiTheme="majorHAnsi" w:cstheme="majorHAnsi"/>
                <w:sz w:val="16"/>
                <w:szCs w:val="16"/>
                <w:u w:val="single"/>
              </w:rPr>
            </w:pPr>
            <w:r w:rsidRPr="0045395C">
              <w:rPr>
                <w:rFonts w:asciiTheme="majorHAnsi" w:hAnsiTheme="majorHAnsi" w:cstheme="majorHAnsi"/>
                <w:sz w:val="16"/>
                <w:szCs w:val="16"/>
                <w:u w:val="single"/>
              </w:rPr>
              <w:t xml:space="preserve">Selskabsskattelovens § 27, stk. 7 </w:t>
            </w:r>
          </w:p>
          <w:p w:rsidR="003E40E3" w:rsidRPr="0045395C" w:rsidRDefault="003E40E3" w:rsidP="00ED0BE5">
            <w:pPr>
              <w:rPr>
                <w:rFonts w:asciiTheme="majorHAnsi" w:hAnsiTheme="majorHAnsi" w:cstheme="majorHAnsi"/>
                <w:sz w:val="16"/>
                <w:szCs w:val="16"/>
              </w:rPr>
            </w:pPr>
            <w:r>
              <w:rPr>
                <w:rFonts w:asciiTheme="majorHAnsi" w:hAnsiTheme="majorHAnsi" w:cstheme="majorHAnsi"/>
                <w:sz w:val="16"/>
                <w:szCs w:val="16"/>
              </w:rPr>
              <w:t xml:space="preserve">FSR finder det uklart, hvorvidt forretningen af henstandssaldoen skal ske allerede fra den 1. november i transaktionsåret eller først fra den 1. november i året efter transaktionsåret. Det er </w:t>
            </w:r>
            <w:proofErr w:type="spellStart"/>
            <w:r>
              <w:rPr>
                <w:rFonts w:asciiTheme="majorHAnsi" w:hAnsiTheme="majorHAnsi" w:cstheme="majorHAnsi"/>
                <w:sz w:val="16"/>
                <w:szCs w:val="16"/>
              </w:rPr>
              <w:t>FSRs</w:t>
            </w:r>
            <w:proofErr w:type="spellEnd"/>
            <w:r>
              <w:rPr>
                <w:rFonts w:asciiTheme="majorHAnsi" w:hAnsiTheme="majorHAnsi" w:cstheme="majorHAnsi"/>
                <w:sz w:val="16"/>
                <w:szCs w:val="16"/>
              </w:rPr>
              <w:t xml:space="preserve"> opfattelse, at </w:t>
            </w:r>
            <w:r w:rsidRPr="0045395C">
              <w:rPr>
                <w:rFonts w:asciiTheme="majorHAnsi" w:hAnsiTheme="majorHAnsi" w:cstheme="majorHAnsi"/>
                <w:sz w:val="16"/>
                <w:szCs w:val="16"/>
              </w:rPr>
              <w:t>forrentningen først bør løbe fra den 1. november i året efter transaktionsåret, da det er på dette tidspunkt exitskatten forfaldt til bet</w:t>
            </w:r>
            <w:r w:rsidRPr="0045395C">
              <w:rPr>
                <w:rFonts w:asciiTheme="majorHAnsi" w:hAnsiTheme="majorHAnsi" w:cstheme="majorHAnsi"/>
                <w:sz w:val="16"/>
                <w:szCs w:val="16"/>
              </w:rPr>
              <w:t>a</w:t>
            </w:r>
            <w:r w:rsidRPr="0045395C">
              <w:rPr>
                <w:rFonts w:asciiTheme="majorHAnsi" w:hAnsiTheme="majorHAnsi" w:cstheme="majorHAnsi"/>
                <w:sz w:val="16"/>
                <w:szCs w:val="16"/>
              </w:rPr>
              <w:t xml:space="preserve">ling, hvis der ikke var henstand. </w:t>
            </w:r>
          </w:p>
          <w:p w:rsidR="003E40E3" w:rsidRDefault="003E40E3" w:rsidP="00ED0BE5">
            <w:pPr>
              <w:rPr>
                <w:rFonts w:asciiTheme="majorHAnsi" w:hAnsiTheme="majorHAnsi" w:cstheme="majorHAnsi"/>
                <w:sz w:val="16"/>
                <w:szCs w:val="16"/>
              </w:rPr>
            </w:pPr>
          </w:p>
          <w:p w:rsidR="003E40E3" w:rsidRPr="004C2792" w:rsidRDefault="003E40E3" w:rsidP="00ED0BE5">
            <w:pPr>
              <w:rPr>
                <w:rFonts w:asciiTheme="majorHAnsi" w:hAnsiTheme="majorHAnsi" w:cstheme="majorHAnsi"/>
                <w:b/>
                <w:bCs/>
                <w:sz w:val="16"/>
                <w:szCs w:val="16"/>
              </w:rPr>
            </w:pPr>
            <w:r w:rsidRPr="004C2792">
              <w:rPr>
                <w:rFonts w:asciiTheme="majorHAnsi" w:hAnsiTheme="majorHAnsi" w:cstheme="majorHAnsi"/>
                <w:b/>
                <w:bCs/>
                <w:sz w:val="16"/>
                <w:szCs w:val="16"/>
              </w:rPr>
              <w:t xml:space="preserve">Overgangsreglen </w:t>
            </w:r>
          </w:p>
          <w:p w:rsidR="003E40E3" w:rsidRPr="004C2792" w:rsidRDefault="003E40E3" w:rsidP="00ED0BE5">
            <w:pPr>
              <w:rPr>
                <w:rFonts w:asciiTheme="majorHAnsi" w:hAnsiTheme="majorHAnsi" w:cstheme="majorHAnsi"/>
                <w:sz w:val="16"/>
                <w:szCs w:val="16"/>
              </w:rPr>
            </w:pPr>
            <w:r w:rsidRPr="004C2792">
              <w:rPr>
                <w:rFonts w:asciiTheme="majorHAnsi" w:hAnsiTheme="majorHAnsi" w:cstheme="majorHAnsi"/>
                <w:sz w:val="16"/>
                <w:szCs w:val="16"/>
              </w:rPr>
              <w:t>F</w:t>
            </w:r>
            <w:r>
              <w:rPr>
                <w:rFonts w:asciiTheme="majorHAnsi" w:hAnsiTheme="majorHAnsi" w:cstheme="majorHAnsi"/>
                <w:sz w:val="16"/>
                <w:szCs w:val="16"/>
              </w:rPr>
              <w:t>SR</w:t>
            </w:r>
            <w:r w:rsidRPr="004C2792">
              <w:rPr>
                <w:rFonts w:asciiTheme="majorHAnsi" w:hAnsiTheme="majorHAnsi" w:cstheme="majorHAnsi"/>
                <w:sz w:val="16"/>
                <w:szCs w:val="16"/>
              </w:rPr>
              <w:t xml:space="preserve"> </w:t>
            </w:r>
            <w:r>
              <w:rPr>
                <w:rFonts w:asciiTheme="majorHAnsi" w:hAnsiTheme="majorHAnsi" w:cstheme="majorHAnsi"/>
                <w:sz w:val="16"/>
                <w:szCs w:val="16"/>
              </w:rPr>
              <w:t xml:space="preserve">beder om at få </w:t>
            </w:r>
            <w:r w:rsidRPr="004C2792">
              <w:rPr>
                <w:rFonts w:asciiTheme="majorHAnsi" w:hAnsiTheme="majorHAnsi" w:cstheme="majorHAnsi"/>
                <w:sz w:val="16"/>
                <w:szCs w:val="16"/>
              </w:rPr>
              <w:t>bekræfte</w:t>
            </w:r>
            <w:r>
              <w:rPr>
                <w:rFonts w:asciiTheme="majorHAnsi" w:hAnsiTheme="majorHAnsi" w:cstheme="majorHAnsi"/>
                <w:sz w:val="16"/>
                <w:szCs w:val="16"/>
              </w:rPr>
              <w:t>t</w:t>
            </w:r>
            <w:r w:rsidRPr="004C2792">
              <w:rPr>
                <w:rFonts w:asciiTheme="majorHAnsi" w:hAnsiTheme="majorHAnsi" w:cstheme="majorHAnsi"/>
                <w:sz w:val="16"/>
                <w:szCs w:val="16"/>
              </w:rPr>
              <w:t xml:space="preserve">, at hvis der er sket exitbeskatning af et aktiv i indkomståret 2008, så vil skatteyderen have krav på tilbagebetaling af 1/7 af skatten den 1. november 2014, forudsat at betingelserne er opfyldt, og at indtægtsførelsen skal ske efter 1/7-reglen. </w:t>
            </w: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r>
              <w:rPr>
                <w:rFonts w:asciiTheme="majorHAnsi" w:hAnsiTheme="majorHAnsi" w:cstheme="majorHAnsi"/>
                <w:sz w:val="16"/>
                <w:szCs w:val="16"/>
              </w:rPr>
              <w:t xml:space="preserve">Endvidere bedes det bekræftet, at opgørelsen efter stk. 2 i overgangsreglen ikke inkluderer forrentning efter den foreslåede § 27, stk. 7. </w:t>
            </w:r>
          </w:p>
          <w:p w:rsidR="003E40E3" w:rsidRDefault="003E40E3" w:rsidP="00ED0BE5">
            <w:pPr>
              <w:rPr>
                <w:rFonts w:asciiTheme="majorHAnsi" w:hAnsiTheme="majorHAnsi" w:cstheme="majorHAnsi"/>
                <w:sz w:val="16"/>
                <w:szCs w:val="16"/>
              </w:rPr>
            </w:pPr>
          </w:p>
          <w:p w:rsidR="003E40E3" w:rsidRDefault="003E40E3" w:rsidP="00D40120">
            <w:pPr>
              <w:spacing w:after="60"/>
              <w:rPr>
                <w:rFonts w:ascii="Calibri" w:hAnsi="Calibri" w:cs="Calibri"/>
                <w:sz w:val="16"/>
                <w:szCs w:val="16"/>
              </w:rPr>
            </w:pPr>
            <w:r>
              <w:rPr>
                <w:rFonts w:asciiTheme="majorHAnsi" w:hAnsiTheme="majorHAnsi" w:cstheme="majorHAnsi"/>
                <w:sz w:val="16"/>
                <w:szCs w:val="16"/>
              </w:rPr>
              <w:t>Endelig beder FSR om en redegørelse for, hvorfor der ikke skal betales rente af de beløb, der betales tilbage.</w:t>
            </w:r>
          </w:p>
        </w:tc>
        <w:tc>
          <w:tcPr>
            <w:tcW w:w="4406" w:type="dxa"/>
            <w:vAlign w:val="center"/>
          </w:tcPr>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Efter EU-retten er Danmark ikke forpligtet til at give adgang</w:t>
            </w:r>
            <w:r w:rsidR="00E01BA6">
              <w:rPr>
                <w:rFonts w:asciiTheme="majorHAnsi" w:hAnsiTheme="majorHAnsi" w:cstheme="majorHAnsi"/>
                <w:sz w:val="16"/>
                <w:szCs w:val="16"/>
              </w:rPr>
              <w:t xml:space="preserve"> til</w:t>
            </w:r>
            <w:r>
              <w:rPr>
                <w:rFonts w:asciiTheme="majorHAnsi" w:hAnsiTheme="majorHAnsi" w:cstheme="majorHAnsi"/>
                <w:sz w:val="16"/>
                <w:szCs w:val="16"/>
              </w:rPr>
              <w:t xml:space="preserve"> henstand med betaling af en exitskat, når denne påhviler et selskab, der er hjemmehørende i et tredjeland. Lovteksten er præciseret, således at det klart fremgår, at det kun er selskaber, der er skattemæssigt hjemmehørende i et EU/EØS medlem</w:t>
            </w:r>
            <w:r>
              <w:rPr>
                <w:rFonts w:asciiTheme="majorHAnsi" w:hAnsiTheme="majorHAnsi" w:cstheme="majorHAnsi"/>
                <w:sz w:val="16"/>
                <w:szCs w:val="16"/>
              </w:rPr>
              <w:t>s</w:t>
            </w:r>
            <w:r>
              <w:rPr>
                <w:rFonts w:asciiTheme="majorHAnsi" w:hAnsiTheme="majorHAnsi" w:cstheme="majorHAnsi"/>
                <w:sz w:val="16"/>
                <w:szCs w:val="16"/>
              </w:rPr>
              <w:t>land, som kan vælge henstand.</w:t>
            </w:r>
          </w:p>
          <w:p w:rsidR="003E40E3" w:rsidRPr="00395CBF"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 xml:space="preserve">Det er ikke et krav, at det faste driftssted var etableret før en overførsel af aktiver og passiver. Bestemmelsen om henstand omfatter også den situation, hvor det faste driftssted etableres i kraft af selve overførslen. </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sidRPr="00395CBF">
              <w:rPr>
                <w:rFonts w:asciiTheme="majorHAnsi" w:hAnsiTheme="majorHAnsi" w:cstheme="majorHAnsi"/>
                <w:sz w:val="16"/>
                <w:szCs w:val="16"/>
              </w:rPr>
              <w:t>Der henvises til</w:t>
            </w:r>
            <w:r>
              <w:rPr>
                <w:rFonts w:asciiTheme="majorHAnsi" w:hAnsiTheme="majorHAnsi" w:cstheme="majorHAnsi"/>
                <w:sz w:val="16"/>
                <w:szCs w:val="16"/>
              </w:rPr>
              <w:t xml:space="preserve"> kommentaren til henvendelsen fra </w:t>
            </w:r>
            <w:r w:rsidRPr="00395CBF">
              <w:rPr>
                <w:rFonts w:asciiTheme="majorHAnsi" w:hAnsiTheme="majorHAnsi" w:cstheme="majorHAnsi"/>
                <w:sz w:val="16"/>
                <w:szCs w:val="16"/>
              </w:rPr>
              <w:t>Bech Bruun.</w:t>
            </w: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Det kan ikke bekræftes. EU-Domstolens dom af 18. juli 2013 vedrører beskatning af urealiserede gevinster på aktiver. Den omhandler ikke underskudssituationen, hvilket også er naturligt, da der er tale om en anden situation. Ved ophør af en valgt international sambeskatning sker der genbeskatning af fratru</w:t>
            </w:r>
            <w:r>
              <w:rPr>
                <w:rFonts w:asciiTheme="majorHAnsi" w:hAnsiTheme="majorHAnsi" w:cstheme="majorHAnsi"/>
                <w:sz w:val="16"/>
                <w:szCs w:val="16"/>
              </w:rPr>
              <w:t>k</w:t>
            </w:r>
            <w:r>
              <w:rPr>
                <w:rFonts w:asciiTheme="majorHAnsi" w:hAnsiTheme="majorHAnsi" w:cstheme="majorHAnsi"/>
                <w:sz w:val="16"/>
                <w:szCs w:val="16"/>
              </w:rPr>
              <w:t>ne underskud, som hidrører fra udlandet. Denne underskuds</w:t>
            </w:r>
            <w:r>
              <w:rPr>
                <w:rFonts w:asciiTheme="majorHAnsi" w:hAnsiTheme="majorHAnsi" w:cstheme="majorHAnsi"/>
                <w:sz w:val="16"/>
                <w:szCs w:val="16"/>
              </w:rPr>
              <w:t>o</w:t>
            </w:r>
            <w:r>
              <w:rPr>
                <w:rFonts w:asciiTheme="majorHAnsi" w:hAnsiTheme="majorHAnsi" w:cstheme="majorHAnsi"/>
                <w:sz w:val="16"/>
                <w:szCs w:val="16"/>
              </w:rPr>
              <w:t xml:space="preserve">verførelse udgør alene en skattekredit. Med genbeskatningen sker der en tilbagebetaling af denne skattekredit, der er opnået på frivillig basis.  </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Lovforslaget ændrer ikke på reglerne for, hvornår der indtræder exitbeskatning</w:t>
            </w:r>
            <w:r w:rsidR="00A613A2">
              <w:rPr>
                <w:rFonts w:asciiTheme="majorHAnsi" w:hAnsiTheme="majorHAnsi" w:cstheme="majorHAnsi"/>
                <w:sz w:val="16"/>
                <w:szCs w:val="16"/>
              </w:rPr>
              <w:t>,</w:t>
            </w:r>
            <w:r>
              <w:rPr>
                <w:rFonts w:asciiTheme="majorHAnsi" w:hAnsiTheme="majorHAnsi" w:cstheme="majorHAnsi"/>
                <w:sz w:val="16"/>
                <w:szCs w:val="16"/>
              </w:rPr>
              <w:t xml:space="preserve"> og ændrer heller ikke på praksis i forhold til, hvornår der kan anses for at foreligge et fast driftssted. Der kan henvises til muligheden for anmodning om bindende svar, hvis der er tvivlsspørgsmål i forhold hertil. </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De foreslåede regler gælder for skattepligtige omfattet af se</w:t>
            </w:r>
            <w:r>
              <w:rPr>
                <w:rFonts w:asciiTheme="majorHAnsi" w:hAnsiTheme="majorHAnsi" w:cstheme="majorHAnsi"/>
                <w:sz w:val="16"/>
                <w:szCs w:val="16"/>
              </w:rPr>
              <w:t>l</w:t>
            </w:r>
            <w:r>
              <w:rPr>
                <w:rFonts w:asciiTheme="majorHAnsi" w:hAnsiTheme="majorHAnsi" w:cstheme="majorHAnsi"/>
                <w:sz w:val="16"/>
                <w:szCs w:val="16"/>
              </w:rPr>
              <w:t>skabsskattelovens § 2, stk. 1, litra a, hvor er tale om koncerni</w:t>
            </w:r>
            <w:r>
              <w:rPr>
                <w:rFonts w:asciiTheme="majorHAnsi" w:hAnsiTheme="majorHAnsi" w:cstheme="majorHAnsi"/>
                <w:sz w:val="16"/>
                <w:szCs w:val="16"/>
              </w:rPr>
              <w:t>n</w:t>
            </w:r>
            <w:r>
              <w:rPr>
                <w:rFonts w:asciiTheme="majorHAnsi" w:hAnsiTheme="majorHAnsi" w:cstheme="majorHAnsi"/>
                <w:sz w:val="16"/>
                <w:szCs w:val="16"/>
              </w:rPr>
              <w:t>terne overførsler af aktiver og passiver efter selskabsskattel</w:t>
            </w:r>
            <w:r>
              <w:rPr>
                <w:rFonts w:asciiTheme="majorHAnsi" w:hAnsiTheme="majorHAnsi" w:cstheme="majorHAnsi"/>
                <w:sz w:val="16"/>
                <w:szCs w:val="16"/>
              </w:rPr>
              <w:t>o</w:t>
            </w:r>
            <w:r>
              <w:rPr>
                <w:rFonts w:asciiTheme="majorHAnsi" w:hAnsiTheme="majorHAnsi" w:cstheme="majorHAnsi"/>
                <w:sz w:val="16"/>
                <w:szCs w:val="16"/>
              </w:rPr>
              <w:t xml:space="preserve">vens § 8. </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 xml:space="preserve">Det kan ikke bekræftes. Der kan henvises til kommentaren oven </w:t>
            </w:r>
            <w:r w:rsidR="00A613A2">
              <w:rPr>
                <w:rFonts w:asciiTheme="majorHAnsi" w:hAnsiTheme="majorHAnsi" w:cstheme="majorHAnsi"/>
                <w:sz w:val="16"/>
                <w:szCs w:val="16"/>
              </w:rPr>
              <w:t xml:space="preserve">for </w:t>
            </w:r>
            <w:r>
              <w:rPr>
                <w:rFonts w:asciiTheme="majorHAnsi" w:hAnsiTheme="majorHAnsi" w:cstheme="majorHAnsi"/>
                <w:sz w:val="16"/>
                <w:szCs w:val="16"/>
              </w:rPr>
              <w:t xml:space="preserve">vedrørende genbeskatning af underskud og internationale sambeskatning. </w:t>
            </w: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Bemærkningerne er præciseret i overensstemmelse hermed.</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sidRPr="00395CBF">
              <w:rPr>
                <w:rFonts w:asciiTheme="majorHAnsi" w:hAnsiTheme="majorHAnsi" w:cstheme="majorHAnsi"/>
                <w:sz w:val="16"/>
                <w:szCs w:val="16"/>
              </w:rPr>
              <w:t>Bemærkningerne er ændret og uddybet</w:t>
            </w:r>
            <w:r>
              <w:rPr>
                <w:rFonts w:asciiTheme="majorHAnsi" w:hAnsiTheme="majorHAnsi" w:cstheme="majorHAnsi"/>
                <w:sz w:val="16"/>
                <w:szCs w:val="16"/>
              </w:rPr>
              <w:t>.</w:t>
            </w:r>
            <w:r w:rsidRPr="00395CBF">
              <w:rPr>
                <w:rFonts w:asciiTheme="majorHAnsi" w:hAnsiTheme="majorHAnsi" w:cstheme="majorHAnsi"/>
                <w:sz w:val="16"/>
                <w:szCs w:val="16"/>
              </w:rPr>
              <w:t xml:space="preserve"> Se </w:t>
            </w:r>
            <w:r>
              <w:rPr>
                <w:rFonts w:asciiTheme="majorHAnsi" w:hAnsiTheme="majorHAnsi" w:cstheme="majorHAnsi"/>
                <w:sz w:val="16"/>
                <w:szCs w:val="16"/>
              </w:rPr>
              <w:t xml:space="preserve">kommentaren </w:t>
            </w:r>
            <w:r w:rsidRPr="00395CBF">
              <w:rPr>
                <w:rFonts w:asciiTheme="majorHAnsi" w:hAnsiTheme="majorHAnsi" w:cstheme="majorHAnsi"/>
                <w:sz w:val="16"/>
                <w:szCs w:val="16"/>
              </w:rPr>
              <w:t xml:space="preserve">til </w:t>
            </w:r>
            <w:r>
              <w:rPr>
                <w:rFonts w:asciiTheme="majorHAnsi" w:hAnsiTheme="majorHAnsi" w:cstheme="majorHAnsi"/>
                <w:sz w:val="16"/>
                <w:szCs w:val="16"/>
              </w:rPr>
              <w:t xml:space="preserve">henvendelsen fra </w:t>
            </w:r>
            <w:r w:rsidRPr="00395CBF">
              <w:rPr>
                <w:rFonts w:asciiTheme="majorHAnsi" w:hAnsiTheme="majorHAnsi" w:cstheme="majorHAnsi"/>
                <w:sz w:val="16"/>
                <w:szCs w:val="16"/>
              </w:rPr>
              <w:t>SRF.</w:t>
            </w: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p>
          <w:p w:rsidR="00D40120" w:rsidRDefault="00D40120"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Det er opfattelsen, at EU-retten ikke kræver, at der i enhver henseende skal gælde en fuldstændig ligestilling. EU-Domstolen har anerkendt medlemslandenes ret til at exitbeskatte. EU-domstolens domme på området er gået på opkrævningstid</w:t>
            </w:r>
            <w:r>
              <w:rPr>
                <w:rFonts w:asciiTheme="majorHAnsi" w:hAnsiTheme="majorHAnsi" w:cstheme="majorHAnsi"/>
                <w:sz w:val="16"/>
                <w:szCs w:val="16"/>
              </w:rPr>
              <w:t>s</w:t>
            </w:r>
            <w:r>
              <w:rPr>
                <w:rFonts w:asciiTheme="majorHAnsi" w:hAnsiTheme="majorHAnsi" w:cstheme="majorHAnsi"/>
                <w:sz w:val="16"/>
                <w:szCs w:val="16"/>
              </w:rPr>
              <w:t>punktet. Et af elementerne i den forbindelse har bl.a. været den likviditetsmæssige byrde som følge af, at exitskatten kræves betalt med det samme. Når der ikke udløses en betalbar exi</w:t>
            </w:r>
            <w:r>
              <w:rPr>
                <w:rFonts w:asciiTheme="majorHAnsi" w:hAnsiTheme="majorHAnsi" w:cstheme="majorHAnsi"/>
                <w:sz w:val="16"/>
                <w:szCs w:val="16"/>
              </w:rPr>
              <w:t>t</w:t>
            </w:r>
            <w:r>
              <w:rPr>
                <w:rFonts w:asciiTheme="majorHAnsi" w:hAnsiTheme="majorHAnsi" w:cstheme="majorHAnsi"/>
                <w:sz w:val="16"/>
                <w:szCs w:val="16"/>
              </w:rPr>
              <w:t xml:space="preserve">skat, er der ikke nogen umiddelbar likviditetsmæssig byrde og dermed heller ikke noget grundlag for at yde henstand med betalingen.   </w:t>
            </w:r>
          </w:p>
          <w:p w:rsidR="003E40E3" w:rsidRDefault="003E40E3" w:rsidP="00ED0BE5">
            <w:pPr>
              <w:spacing w:after="60"/>
              <w:rPr>
                <w:rFonts w:asciiTheme="majorHAnsi" w:hAnsiTheme="majorHAnsi" w:cstheme="majorHAnsi"/>
                <w:sz w:val="16"/>
                <w:szCs w:val="16"/>
              </w:rPr>
            </w:pPr>
          </w:p>
          <w:p w:rsidR="003E40E3"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 xml:space="preserve">Lovforslaget ændrer ikke på regler og praksis for opgørelse af en exitskat som følge af, at der er indtrådt en situation omfattet af selskabsskattelovens § 5, stk. 7 eller 8, eller § 8, stk. 4, 3. pkt. Lovforslaget går alene ud på, at der kan vælges henstand med den således opgjorte exitskat. Der kan henvises til muligheden for anmodning om bindende svar, hvis der er tvivlsspørgsmål i forhold til selve opgørelsen af exitskatten.  </w:t>
            </w:r>
          </w:p>
          <w:p w:rsidR="003E40E3"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 xml:space="preserve">Det </w:t>
            </w:r>
            <w:r w:rsidRPr="00395CBF">
              <w:rPr>
                <w:rFonts w:asciiTheme="majorHAnsi" w:hAnsiTheme="majorHAnsi" w:cstheme="majorHAnsi"/>
                <w:sz w:val="16"/>
                <w:szCs w:val="16"/>
              </w:rPr>
              <w:t>kan bekræfte</w:t>
            </w:r>
            <w:r>
              <w:rPr>
                <w:rFonts w:asciiTheme="majorHAnsi" w:hAnsiTheme="majorHAnsi" w:cstheme="majorHAnsi"/>
                <w:sz w:val="16"/>
                <w:szCs w:val="16"/>
              </w:rPr>
              <w:t>s</w:t>
            </w:r>
            <w:r w:rsidRPr="00395CBF">
              <w:rPr>
                <w:rFonts w:asciiTheme="majorHAnsi" w:hAnsiTheme="majorHAnsi" w:cstheme="majorHAnsi"/>
                <w:sz w:val="16"/>
                <w:szCs w:val="16"/>
              </w:rPr>
              <w:t>, at afdragsbeløbet opgøres, som om aktivet fortsat var omfattet af dansk beskatning, dvs. efter de til enhver tid gældende danske skatteregler.</w:t>
            </w: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p>
          <w:p w:rsidR="003E40E3" w:rsidRPr="00395CBF" w:rsidRDefault="003E40E3" w:rsidP="00ED0BE5">
            <w:pPr>
              <w:spacing w:after="60"/>
              <w:jc w:val="left"/>
              <w:rPr>
                <w:rFonts w:asciiTheme="majorHAnsi" w:hAnsiTheme="majorHAnsi" w:cstheme="majorHAnsi"/>
                <w:sz w:val="16"/>
                <w:szCs w:val="16"/>
              </w:rPr>
            </w:pPr>
          </w:p>
          <w:p w:rsidR="003E40E3" w:rsidRPr="00395CBF" w:rsidRDefault="003E40E3" w:rsidP="00ED0BE5">
            <w:pPr>
              <w:spacing w:after="60"/>
              <w:jc w:val="left"/>
              <w:rPr>
                <w:rFonts w:asciiTheme="majorHAnsi" w:hAnsiTheme="majorHAnsi" w:cstheme="majorHAnsi"/>
                <w:sz w:val="16"/>
                <w:szCs w:val="16"/>
              </w:rPr>
            </w:pPr>
          </w:p>
          <w:p w:rsidR="003E40E3" w:rsidRPr="00395CBF" w:rsidRDefault="003E40E3" w:rsidP="00ED0BE5">
            <w:pPr>
              <w:spacing w:after="60"/>
              <w:jc w:val="left"/>
              <w:rPr>
                <w:rFonts w:asciiTheme="majorHAnsi" w:hAnsiTheme="majorHAnsi" w:cstheme="majorHAnsi"/>
                <w:sz w:val="16"/>
                <w:szCs w:val="16"/>
              </w:rPr>
            </w:pPr>
          </w:p>
          <w:p w:rsidR="003E40E3" w:rsidRDefault="003E40E3" w:rsidP="00ED0BE5">
            <w:pPr>
              <w:spacing w:after="60"/>
              <w:jc w:val="left"/>
              <w:rPr>
                <w:rFonts w:asciiTheme="majorHAnsi" w:hAnsiTheme="majorHAnsi" w:cstheme="majorHAnsi"/>
                <w:sz w:val="16"/>
                <w:szCs w:val="16"/>
              </w:rPr>
            </w:pPr>
          </w:p>
          <w:p w:rsidR="003E40E3" w:rsidRDefault="003E40E3" w:rsidP="00ED0BE5">
            <w:pPr>
              <w:spacing w:after="60"/>
              <w:jc w:val="left"/>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Pr>
                <w:rFonts w:asciiTheme="majorHAnsi" w:hAnsiTheme="majorHAnsi" w:cstheme="majorHAnsi"/>
                <w:sz w:val="16"/>
                <w:szCs w:val="16"/>
              </w:rPr>
              <w:t>Som anført i bemærkningerne vil pejlemærket være, hvilke indtægter, det overdragende danske selskab mv. selv havde kunnet forvente at opnå af driftsmidlet eller det immaterielle aktiv, hvis selskabet mv. havde beholdt aktivet. Som det også er nævnt i bemærkningerne, er det afgørende dog, at afkastet skal fastlægges på grundlag af armslængdeprincippet. Er der fx tale om overførsel af et immaterielt aktiv, vil det derfor være rel</w:t>
            </w:r>
            <w:r>
              <w:rPr>
                <w:rFonts w:asciiTheme="majorHAnsi" w:hAnsiTheme="majorHAnsi" w:cstheme="majorHAnsi"/>
                <w:sz w:val="16"/>
                <w:szCs w:val="16"/>
              </w:rPr>
              <w:t>e</w:t>
            </w:r>
            <w:r>
              <w:rPr>
                <w:rFonts w:asciiTheme="majorHAnsi" w:hAnsiTheme="majorHAnsi" w:cstheme="majorHAnsi"/>
                <w:sz w:val="16"/>
                <w:szCs w:val="16"/>
              </w:rPr>
              <w:t xml:space="preserve">vant at se på, hvilken indtægt der kunne være oppebåret af aktivet, hvis selve retten til udnyttelsen havde været overdraget til en uafhængig tredjepart.  </w:t>
            </w:r>
          </w:p>
          <w:p w:rsidR="003E40E3" w:rsidRDefault="003E40E3" w:rsidP="00ED0BE5">
            <w:pPr>
              <w:spacing w:after="60"/>
              <w:rPr>
                <w:rFonts w:asciiTheme="majorHAnsi" w:hAnsiTheme="majorHAnsi" w:cstheme="majorHAnsi"/>
                <w:sz w:val="16"/>
                <w:szCs w:val="16"/>
              </w:rPr>
            </w:pPr>
          </w:p>
          <w:p w:rsidR="003E40E3" w:rsidRPr="00395CBF" w:rsidRDefault="003E40E3" w:rsidP="00ED0BE5">
            <w:pPr>
              <w:spacing w:after="60"/>
              <w:rPr>
                <w:rFonts w:asciiTheme="majorHAnsi" w:hAnsiTheme="majorHAnsi" w:cstheme="majorHAnsi"/>
                <w:sz w:val="16"/>
                <w:szCs w:val="16"/>
              </w:rPr>
            </w:pPr>
            <w:r w:rsidRPr="00395CBF">
              <w:rPr>
                <w:rFonts w:asciiTheme="majorHAnsi" w:hAnsiTheme="majorHAnsi" w:cstheme="majorHAnsi"/>
                <w:sz w:val="16"/>
                <w:szCs w:val="16"/>
              </w:rPr>
              <w:t xml:space="preserve">Så længe exitskatten ikke er betalt, anses de overførte aktiver for at være stillet til rådighed for det udenlandske </w:t>
            </w:r>
            <w:bookmarkStart w:id="1" w:name="_GoBack"/>
            <w:bookmarkEnd w:id="1"/>
            <w:r w:rsidRPr="00395CBF">
              <w:rPr>
                <w:rFonts w:asciiTheme="majorHAnsi" w:hAnsiTheme="majorHAnsi" w:cstheme="majorHAnsi"/>
                <w:sz w:val="16"/>
                <w:szCs w:val="16"/>
              </w:rPr>
              <w:t>hove</w:t>
            </w:r>
            <w:r w:rsidRPr="00395CBF">
              <w:rPr>
                <w:rFonts w:asciiTheme="majorHAnsi" w:hAnsiTheme="majorHAnsi" w:cstheme="majorHAnsi"/>
                <w:sz w:val="16"/>
                <w:szCs w:val="16"/>
              </w:rPr>
              <w:t>d</w:t>
            </w:r>
            <w:r w:rsidRPr="00395CBF">
              <w:rPr>
                <w:rFonts w:asciiTheme="majorHAnsi" w:hAnsiTheme="majorHAnsi" w:cstheme="majorHAnsi"/>
                <w:sz w:val="16"/>
                <w:szCs w:val="16"/>
              </w:rPr>
              <w:t>kontor eller faste driftssted. Der beregnes derfor afdrag med udgang</w:t>
            </w:r>
            <w:r w:rsidRPr="00395CBF">
              <w:rPr>
                <w:rFonts w:asciiTheme="majorHAnsi" w:hAnsiTheme="majorHAnsi" w:cstheme="majorHAnsi"/>
                <w:sz w:val="16"/>
                <w:szCs w:val="16"/>
              </w:rPr>
              <w:t>s</w:t>
            </w:r>
            <w:r w:rsidRPr="00395CBF">
              <w:rPr>
                <w:rFonts w:asciiTheme="majorHAnsi" w:hAnsiTheme="majorHAnsi" w:cstheme="majorHAnsi"/>
                <w:sz w:val="16"/>
                <w:szCs w:val="16"/>
              </w:rPr>
              <w:t>punkt i det afkast, der er af aktiverne.  Der kan dog maksimalt ske afdrag med et beløb svarende til indeståendet på he</w:t>
            </w:r>
            <w:r w:rsidRPr="00395CBF">
              <w:rPr>
                <w:rFonts w:asciiTheme="majorHAnsi" w:hAnsiTheme="majorHAnsi" w:cstheme="majorHAnsi"/>
                <w:sz w:val="16"/>
                <w:szCs w:val="16"/>
              </w:rPr>
              <w:t>n</w:t>
            </w:r>
            <w:r w:rsidRPr="00395CBF">
              <w:rPr>
                <w:rFonts w:asciiTheme="majorHAnsi" w:hAnsiTheme="majorHAnsi" w:cstheme="majorHAnsi"/>
                <w:sz w:val="16"/>
                <w:szCs w:val="16"/>
              </w:rPr>
              <w:t>standssaldoen ved dennes etablering. Ligeså snart aktiverne giver likviditet til at afvikle skattegælden, skal der foretages afdrag. I modsat fald kunne der opnås udskydelse af skattebet</w:t>
            </w:r>
            <w:r w:rsidRPr="00395CBF">
              <w:rPr>
                <w:rFonts w:asciiTheme="majorHAnsi" w:hAnsiTheme="majorHAnsi" w:cstheme="majorHAnsi"/>
                <w:sz w:val="16"/>
                <w:szCs w:val="16"/>
              </w:rPr>
              <w:t>a</w:t>
            </w:r>
            <w:r w:rsidRPr="00395CBF">
              <w:rPr>
                <w:rFonts w:asciiTheme="majorHAnsi" w:hAnsiTheme="majorHAnsi" w:cstheme="majorHAnsi"/>
                <w:sz w:val="16"/>
                <w:szCs w:val="16"/>
              </w:rPr>
              <w:t>lingen, selvom indtægten allerede var realiseret. EU-Domstolen har overlad</w:t>
            </w:r>
            <w:r>
              <w:rPr>
                <w:rFonts w:asciiTheme="majorHAnsi" w:hAnsiTheme="majorHAnsi" w:cstheme="majorHAnsi"/>
                <w:sz w:val="16"/>
                <w:szCs w:val="16"/>
              </w:rPr>
              <w:t>t</w:t>
            </w:r>
            <w:r w:rsidRPr="00395CBF">
              <w:rPr>
                <w:rFonts w:asciiTheme="majorHAnsi" w:hAnsiTheme="majorHAnsi" w:cstheme="majorHAnsi"/>
                <w:sz w:val="16"/>
                <w:szCs w:val="16"/>
              </w:rPr>
              <w:t xml:space="preserve"> det til de enkelte medlemsstater at fastlægge det nærmere indhold af henstandsordningen. </w:t>
            </w:r>
          </w:p>
          <w:p w:rsidR="003E40E3" w:rsidRPr="00395CBF" w:rsidRDefault="003E40E3" w:rsidP="00ED0BE5">
            <w:pPr>
              <w:spacing w:after="60"/>
              <w:jc w:val="left"/>
              <w:rPr>
                <w:rFonts w:asciiTheme="majorHAnsi" w:hAnsiTheme="majorHAnsi" w:cstheme="majorHAnsi"/>
                <w:sz w:val="16"/>
                <w:szCs w:val="16"/>
              </w:rPr>
            </w:pPr>
          </w:p>
          <w:p w:rsidR="003E40E3" w:rsidRPr="00395CBF" w:rsidRDefault="003E40E3" w:rsidP="00ED0BE5">
            <w:pPr>
              <w:rPr>
                <w:rFonts w:asciiTheme="majorHAnsi" w:hAnsiTheme="majorHAnsi" w:cstheme="majorHAnsi"/>
                <w:sz w:val="16"/>
                <w:szCs w:val="16"/>
              </w:rPr>
            </w:pPr>
            <w:r>
              <w:rPr>
                <w:rFonts w:asciiTheme="majorHAnsi" w:hAnsiTheme="majorHAnsi" w:cstheme="majorHAnsi"/>
                <w:sz w:val="16"/>
                <w:szCs w:val="16"/>
              </w:rPr>
              <w:t xml:space="preserve">Det fremgår af bemærkningerne, at </w:t>
            </w:r>
            <w:r w:rsidRPr="00395CBF">
              <w:rPr>
                <w:rFonts w:asciiTheme="majorHAnsi" w:hAnsiTheme="majorHAnsi" w:cstheme="majorHAnsi"/>
                <w:sz w:val="16"/>
                <w:szCs w:val="16"/>
              </w:rPr>
              <w:t xml:space="preserve">hvor aktiver og passiver omfattet af en exitbeskatning med tilknyttet henstand igen omfattes af dansk beskatning, finder de gældende regler om indgangsværdier anvendelse. </w:t>
            </w:r>
            <w:r>
              <w:rPr>
                <w:rFonts w:asciiTheme="majorHAnsi" w:hAnsiTheme="majorHAnsi" w:cstheme="majorHAnsi"/>
                <w:sz w:val="16"/>
                <w:szCs w:val="16"/>
              </w:rPr>
              <w:t>Det skal bemærkes, at selskab</w:t>
            </w:r>
            <w:r>
              <w:rPr>
                <w:rFonts w:asciiTheme="majorHAnsi" w:hAnsiTheme="majorHAnsi" w:cstheme="majorHAnsi"/>
                <w:sz w:val="16"/>
                <w:szCs w:val="16"/>
              </w:rPr>
              <w:t>s</w:t>
            </w:r>
            <w:r>
              <w:rPr>
                <w:rFonts w:asciiTheme="majorHAnsi" w:hAnsiTheme="majorHAnsi" w:cstheme="majorHAnsi"/>
                <w:sz w:val="16"/>
                <w:szCs w:val="16"/>
              </w:rPr>
              <w:t>skattelovens § 8 B ikke foreslås ændret. Dermed er der ikke adgang til at anvende princippet i selskabsskattelovens § 8 B, stk. 5, ved en koncernintern tilbageoverdragelse af et afskri</w:t>
            </w:r>
            <w:r>
              <w:rPr>
                <w:rFonts w:asciiTheme="majorHAnsi" w:hAnsiTheme="majorHAnsi" w:cstheme="majorHAnsi"/>
                <w:sz w:val="16"/>
                <w:szCs w:val="16"/>
              </w:rPr>
              <w:t>v</w:t>
            </w:r>
            <w:r>
              <w:rPr>
                <w:rFonts w:asciiTheme="majorHAnsi" w:hAnsiTheme="majorHAnsi" w:cstheme="majorHAnsi"/>
                <w:sz w:val="16"/>
                <w:szCs w:val="16"/>
              </w:rPr>
              <w:t xml:space="preserve">ningsberettiget aktiv, hvor der er givet henstand med betaling af exitskatten. Indgangsværdien kan således ikke forhøjes med den skattepligtige gevinst, der blev beregnet exitskat af ved den første overførsel.  </w:t>
            </w:r>
          </w:p>
          <w:p w:rsidR="003E40E3" w:rsidRDefault="003E40E3" w:rsidP="00ED0BE5">
            <w:pPr>
              <w:rPr>
                <w:rFonts w:asciiTheme="majorHAnsi" w:eastAsia="DotumChe"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r>
              <w:rPr>
                <w:rFonts w:asciiTheme="majorHAnsi" w:hAnsiTheme="majorHAnsi" w:cstheme="majorHAnsi"/>
                <w:sz w:val="16"/>
                <w:szCs w:val="16"/>
              </w:rPr>
              <w:t xml:space="preserve">En </w:t>
            </w:r>
            <w:r w:rsidRPr="00B67D31">
              <w:rPr>
                <w:rFonts w:asciiTheme="majorHAnsi" w:hAnsiTheme="majorHAnsi" w:cstheme="majorHAnsi"/>
                <w:sz w:val="16"/>
                <w:szCs w:val="16"/>
              </w:rPr>
              <w:t>overførs</w:t>
            </w:r>
            <w:r>
              <w:rPr>
                <w:rFonts w:asciiTheme="majorHAnsi" w:hAnsiTheme="majorHAnsi" w:cstheme="majorHAnsi"/>
                <w:sz w:val="16"/>
                <w:szCs w:val="16"/>
              </w:rPr>
              <w:t xml:space="preserve">el </w:t>
            </w:r>
            <w:r w:rsidRPr="00B67D31">
              <w:rPr>
                <w:rFonts w:asciiTheme="majorHAnsi" w:hAnsiTheme="majorHAnsi" w:cstheme="majorHAnsi"/>
                <w:sz w:val="16"/>
                <w:szCs w:val="16"/>
              </w:rPr>
              <w:t xml:space="preserve">af </w:t>
            </w:r>
            <w:r>
              <w:rPr>
                <w:rFonts w:asciiTheme="majorHAnsi" w:hAnsiTheme="majorHAnsi" w:cstheme="majorHAnsi"/>
                <w:sz w:val="16"/>
                <w:szCs w:val="16"/>
              </w:rPr>
              <w:t xml:space="preserve">et </w:t>
            </w:r>
            <w:r w:rsidRPr="00B67D31">
              <w:rPr>
                <w:rFonts w:asciiTheme="majorHAnsi" w:hAnsiTheme="majorHAnsi" w:cstheme="majorHAnsi"/>
                <w:sz w:val="16"/>
                <w:szCs w:val="16"/>
              </w:rPr>
              <w:t xml:space="preserve">aktiv til et </w:t>
            </w:r>
            <w:r>
              <w:rPr>
                <w:rFonts w:asciiTheme="majorHAnsi" w:hAnsiTheme="majorHAnsi" w:cstheme="majorHAnsi"/>
                <w:sz w:val="16"/>
                <w:szCs w:val="16"/>
              </w:rPr>
              <w:t xml:space="preserve">fast </w:t>
            </w:r>
            <w:r w:rsidRPr="00B67D31">
              <w:rPr>
                <w:rFonts w:asciiTheme="majorHAnsi" w:hAnsiTheme="majorHAnsi" w:cstheme="majorHAnsi"/>
                <w:sz w:val="16"/>
                <w:szCs w:val="16"/>
              </w:rPr>
              <w:t xml:space="preserve">driftssted inden for EU/EØS </w:t>
            </w:r>
            <w:r>
              <w:rPr>
                <w:rFonts w:asciiTheme="majorHAnsi" w:hAnsiTheme="majorHAnsi" w:cstheme="majorHAnsi"/>
                <w:sz w:val="16"/>
                <w:szCs w:val="16"/>
              </w:rPr>
              <w:t xml:space="preserve">udgør </w:t>
            </w:r>
            <w:r w:rsidRPr="00B67D31">
              <w:rPr>
                <w:rFonts w:asciiTheme="majorHAnsi" w:hAnsiTheme="majorHAnsi" w:cstheme="majorHAnsi"/>
                <w:sz w:val="16"/>
                <w:szCs w:val="16"/>
              </w:rPr>
              <w:t xml:space="preserve">ikke isoleret set en handling, der </w:t>
            </w:r>
            <w:r>
              <w:rPr>
                <w:rFonts w:asciiTheme="majorHAnsi" w:hAnsiTheme="majorHAnsi" w:cstheme="majorHAnsi"/>
                <w:sz w:val="16"/>
                <w:szCs w:val="16"/>
              </w:rPr>
              <w:t xml:space="preserve">udløser krav om </w:t>
            </w:r>
            <w:r w:rsidRPr="00B67D31">
              <w:rPr>
                <w:rFonts w:asciiTheme="majorHAnsi" w:hAnsiTheme="majorHAnsi" w:cstheme="majorHAnsi"/>
                <w:sz w:val="16"/>
                <w:szCs w:val="16"/>
              </w:rPr>
              <w:t xml:space="preserve">afdrag på henstandssaldoen. </w:t>
            </w:r>
            <w:r>
              <w:rPr>
                <w:rFonts w:asciiTheme="majorHAnsi" w:hAnsiTheme="majorHAnsi" w:cstheme="majorHAnsi"/>
                <w:sz w:val="16"/>
                <w:szCs w:val="16"/>
              </w:rPr>
              <w:t>Det</w:t>
            </w:r>
            <w:r w:rsidR="00B961C7">
              <w:rPr>
                <w:rFonts w:asciiTheme="majorHAnsi" w:hAnsiTheme="majorHAnsi" w:cstheme="majorHAnsi"/>
                <w:sz w:val="16"/>
                <w:szCs w:val="16"/>
              </w:rPr>
              <w:t xml:space="preserve">te er præciseret i 2. pkt. i </w:t>
            </w:r>
            <w:r>
              <w:rPr>
                <w:rFonts w:asciiTheme="majorHAnsi" w:hAnsiTheme="majorHAnsi" w:cstheme="majorHAnsi"/>
                <w:sz w:val="16"/>
                <w:szCs w:val="16"/>
              </w:rPr>
              <w:t>den foresl</w:t>
            </w:r>
            <w:r>
              <w:rPr>
                <w:rFonts w:asciiTheme="majorHAnsi" w:hAnsiTheme="majorHAnsi" w:cstheme="majorHAnsi"/>
                <w:sz w:val="16"/>
                <w:szCs w:val="16"/>
              </w:rPr>
              <w:t>å</w:t>
            </w:r>
            <w:r>
              <w:rPr>
                <w:rFonts w:asciiTheme="majorHAnsi" w:hAnsiTheme="majorHAnsi" w:cstheme="majorHAnsi"/>
                <w:sz w:val="16"/>
                <w:szCs w:val="16"/>
              </w:rPr>
              <w:t xml:space="preserve">ede § 27, stk. </w:t>
            </w:r>
            <w:r w:rsidR="00B961C7">
              <w:rPr>
                <w:rFonts w:asciiTheme="majorHAnsi" w:hAnsiTheme="majorHAnsi" w:cstheme="majorHAnsi"/>
                <w:sz w:val="16"/>
                <w:szCs w:val="16"/>
              </w:rPr>
              <w:t>2.</w:t>
            </w: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r>
              <w:rPr>
                <w:rFonts w:asciiTheme="majorHAnsi" w:hAnsiTheme="majorHAnsi" w:cstheme="majorHAnsi"/>
                <w:sz w:val="16"/>
                <w:szCs w:val="16"/>
              </w:rPr>
              <w:t>Forrentningen af henstandssaldoen skal ske fra transaktion</w:t>
            </w:r>
            <w:r>
              <w:rPr>
                <w:rFonts w:asciiTheme="majorHAnsi" w:hAnsiTheme="majorHAnsi" w:cstheme="majorHAnsi"/>
                <w:sz w:val="16"/>
                <w:szCs w:val="16"/>
              </w:rPr>
              <w:t>s</w:t>
            </w:r>
            <w:r>
              <w:rPr>
                <w:rFonts w:asciiTheme="majorHAnsi" w:hAnsiTheme="majorHAnsi" w:cstheme="majorHAnsi"/>
                <w:sz w:val="16"/>
                <w:szCs w:val="16"/>
              </w:rPr>
              <w:t>året. Renten beregnes af saldoen ultimo transaktionsåret og dermed af primosaldoen i året efter transaktionsåret.</w:t>
            </w:r>
            <w:r w:rsidRPr="0045395C">
              <w:rPr>
                <w:rFonts w:asciiTheme="majorHAnsi" w:hAnsiTheme="majorHAnsi" w:cstheme="majorHAnsi"/>
                <w:sz w:val="16"/>
                <w:szCs w:val="16"/>
              </w:rPr>
              <w:t xml:space="preserve">  </w:t>
            </w:r>
            <w:r>
              <w:rPr>
                <w:rFonts w:asciiTheme="majorHAnsi" w:hAnsiTheme="majorHAnsi" w:cstheme="majorHAnsi"/>
                <w:sz w:val="16"/>
                <w:szCs w:val="16"/>
              </w:rPr>
              <w:t xml:space="preserve">Dette princip harmonerer med reglerne for betaling af selskabsskat, herunder reglerne for beregning og betaling af </w:t>
            </w:r>
            <w:proofErr w:type="spellStart"/>
            <w:r>
              <w:rPr>
                <w:rFonts w:asciiTheme="majorHAnsi" w:hAnsiTheme="majorHAnsi" w:cstheme="majorHAnsi"/>
                <w:sz w:val="16"/>
                <w:szCs w:val="16"/>
              </w:rPr>
              <w:t>acontoskatten</w:t>
            </w:r>
            <w:proofErr w:type="spellEnd"/>
            <w:r>
              <w:rPr>
                <w:rFonts w:asciiTheme="majorHAnsi" w:hAnsiTheme="majorHAnsi" w:cstheme="majorHAnsi"/>
                <w:sz w:val="16"/>
                <w:szCs w:val="16"/>
              </w:rPr>
              <w:t xml:space="preserve">. </w:t>
            </w:r>
          </w:p>
          <w:p w:rsidR="003E40E3" w:rsidRDefault="003E40E3" w:rsidP="00ED0BE5">
            <w:pPr>
              <w:spacing w:after="60"/>
              <w:jc w:val="left"/>
              <w:rPr>
                <w:rFonts w:asciiTheme="majorHAnsi" w:hAnsiTheme="majorHAnsi" w:cstheme="majorHAnsi"/>
                <w:sz w:val="16"/>
                <w:szCs w:val="16"/>
              </w:rPr>
            </w:pPr>
          </w:p>
          <w:p w:rsidR="003E40E3" w:rsidRDefault="003E40E3" w:rsidP="00ED0BE5">
            <w:pPr>
              <w:spacing w:after="60"/>
              <w:jc w:val="left"/>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r>
              <w:rPr>
                <w:rFonts w:asciiTheme="majorHAnsi" w:hAnsiTheme="majorHAnsi" w:cstheme="majorHAnsi"/>
                <w:sz w:val="16"/>
                <w:szCs w:val="16"/>
              </w:rPr>
              <w:t>Det kan bekræftes.</w:t>
            </w: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p>
          <w:p w:rsidR="003E40E3" w:rsidRDefault="003E40E3" w:rsidP="00ED0BE5">
            <w:pPr>
              <w:rPr>
                <w:rFonts w:asciiTheme="majorHAnsi" w:hAnsiTheme="majorHAnsi" w:cstheme="majorHAnsi"/>
                <w:sz w:val="16"/>
                <w:szCs w:val="16"/>
              </w:rPr>
            </w:pPr>
            <w:r>
              <w:rPr>
                <w:rFonts w:asciiTheme="majorHAnsi" w:hAnsiTheme="majorHAnsi" w:cstheme="majorHAnsi"/>
                <w:sz w:val="16"/>
                <w:szCs w:val="16"/>
              </w:rPr>
              <w:t xml:space="preserve">Det kan bekræftes. </w:t>
            </w:r>
          </w:p>
          <w:p w:rsidR="003E40E3" w:rsidRDefault="003E40E3" w:rsidP="00ED0BE5">
            <w:pPr>
              <w:rPr>
                <w:rFonts w:asciiTheme="majorHAnsi" w:hAnsiTheme="majorHAnsi" w:cstheme="majorHAnsi"/>
                <w:sz w:val="16"/>
                <w:szCs w:val="16"/>
              </w:rPr>
            </w:pPr>
          </w:p>
          <w:p w:rsidR="003E40E3" w:rsidRDefault="003E40E3" w:rsidP="00D40120">
            <w:pPr>
              <w:spacing w:after="60"/>
              <w:rPr>
                <w:rFonts w:asciiTheme="majorHAnsi" w:hAnsiTheme="majorHAnsi" w:cstheme="majorHAnsi"/>
                <w:sz w:val="16"/>
                <w:szCs w:val="16"/>
              </w:rPr>
            </w:pPr>
          </w:p>
          <w:p w:rsidR="003E40E3" w:rsidRPr="00D97706" w:rsidRDefault="003E40E3" w:rsidP="00D40120">
            <w:pPr>
              <w:spacing w:after="60"/>
              <w:rPr>
                <w:rFonts w:ascii="Calibri" w:hAnsi="Calibri" w:cs="Calibri"/>
                <w:sz w:val="16"/>
                <w:szCs w:val="16"/>
              </w:rPr>
            </w:pPr>
            <w:r>
              <w:rPr>
                <w:rFonts w:asciiTheme="majorHAnsi" w:hAnsiTheme="majorHAnsi" w:cstheme="majorHAnsi"/>
                <w:sz w:val="16"/>
                <w:szCs w:val="16"/>
              </w:rPr>
              <w:t xml:space="preserve">Der kan henvises til kommentaren til bemærkningerne fra </w:t>
            </w:r>
            <w:r w:rsidRPr="004C2792">
              <w:rPr>
                <w:rFonts w:asciiTheme="majorHAnsi" w:hAnsiTheme="majorHAnsi" w:cstheme="majorHAnsi"/>
                <w:sz w:val="16"/>
                <w:szCs w:val="16"/>
              </w:rPr>
              <w:t>Bech Bruun.</w:t>
            </w:r>
          </w:p>
        </w:tc>
      </w:tr>
      <w:tr w:rsidR="003E40E3" w:rsidRPr="00D97706" w:rsidTr="003E40E3">
        <w:trPr>
          <w:trHeight w:val="343"/>
        </w:trPr>
        <w:tc>
          <w:tcPr>
            <w:tcW w:w="1819" w:type="dxa"/>
          </w:tcPr>
          <w:p w:rsidR="003E40E3" w:rsidRPr="00D97706" w:rsidRDefault="003E40E3" w:rsidP="003E40E3">
            <w:pPr>
              <w:spacing w:after="60" w:line="276" w:lineRule="auto"/>
              <w:jc w:val="left"/>
              <w:rPr>
                <w:rStyle w:val="Pladsholdertekst"/>
                <w:rFonts w:ascii="Calibri" w:hAnsi="Calibri" w:cs="Calibri"/>
                <w:color w:val="auto"/>
                <w:sz w:val="16"/>
                <w:szCs w:val="16"/>
              </w:rPr>
            </w:pPr>
            <w:r>
              <w:rPr>
                <w:rFonts w:ascii="Calibri" w:hAnsi="Calibri" w:cs="Calibri"/>
                <w:sz w:val="16"/>
                <w:szCs w:val="16"/>
              </w:rPr>
              <w:lastRenderedPageBreak/>
              <w:t>KL</w:t>
            </w:r>
          </w:p>
        </w:tc>
        <w:tc>
          <w:tcPr>
            <w:tcW w:w="3536" w:type="dxa"/>
          </w:tcPr>
          <w:p w:rsidR="003E40E3" w:rsidRPr="00A97FA3" w:rsidRDefault="003E40E3" w:rsidP="003E40E3">
            <w:pPr>
              <w:spacing w:after="60" w:line="276" w:lineRule="auto"/>
              <w:jc w:val="left"/>
              <w:rPr>
                <w:rStyle w:val="Pladsholdertekst"/>
                <w:rFonts w:ascii="Calibri" w:hAnsi="Calibri" w:cs="Calibri"/>
                <w:sz w:val="16"/>
                <w:szCs w:val="16"/>
              </w:rPr>
            </w:pPr>
            <w:r>
              <w:rPr>
                <w:rStyle w:val="Pladsholdertekst"/>
                <w:rFonts w:ascii="Calibri" w:hAnsi="Calibri" w:cs="Calibri"/>
                <w:color w:val="000000" w:themeColor="text1"/>
                <w:sz w:val="16"/>
                <w:szCs w:val="16"/>
              </w:rPr>
              <w:t xml:space="preserve"> </w:t>
            </w:r>
            <w:r>
              <w:rPr>
                <w:rFonts w:ascii="Calibri" w:hAnsi="Calibri" w:cs="Calibri"/>
                <w:sz w:val="16"/>
                <w:szCs w:val="16"/>
              </w:rPr>
              <w:t>Ingen bemærkninger</w:t>
            </w:r>
          </w:p>
        </w:tc>
        <w:tc>
          <w:tcPr>
            <w:tcW w:w="4406" w:type="dxa"/>
          </w:tcPr>
          <w:p w:rsidR="003E40E3" w:rsidRPr="00D97706" w:rsidRDefault="003E40E3" w:rsidP="003E40E3">
            <w:pPr>
              <w:spacing w:after="60" w:line="276" w:lineRule="auto"/>
              <w:jc w:val="left"/>
              <w:rPr>
                <w:rStyle w:val="Pladsholdertekst"/>
                <w:rFonts w:ascii="Calibri" w:hAnsi="Calibri" w:cs="Calibri"/>
                <w:sz w:val="16"/>
                <w:szCs w:val="16"/>
              </w:rPr>
            </w:pPr>
            <w:r>
              <w:rPr>
                <w:rStyle w:val="Pladsholdertekst"/>
                <w:rFonts w:ascii="Calibri" w:hAnsi="Calibri" w:cs="Calibri"/>
                <w:color w:val="000000" w:themeColor="text1"/>
                <w:sz w:val="16"/>
                <w:szCs w:val="16"/>
              </w:rPr>
              <w:t xml:space="preserve">.  </w:t>
            </w:r>
          </w:p>
        </w:tc>
      </w:tr>
      <w:tr w:rsidR="003E40E3" w:rsidRPr="00D97706" w:rsidTr="003E40E3">
        <w:trPr>
          <w:trHeight w:val="343"/>
        </w:trPr>
        <w:tc>
          <w:tcPr>
            <w:tcW w:w="1819" w:type="dxa"/>
          </w:tcPr>
          <w:p w:rsidR="003E40E3" w:rsidRPr="00D97706" w:rsidRDefault="003E40E3" w:rsidP="00D40120">
            <w:pPr>
              <w:spacing w:after="60"/>
              <w:rPr>
                <w:rStyle w:val="Pladsholdertekst"/>
                <w:rFonts w:ascii="Calibri" w:hAnsi="Calibri" w:cs="Calibri"/>
                <w:color w:val="auto"/>
                <w:sz w:val="16"/>
                <w:szCs w:val="16"/>
              </w:rPr>
            </w:pPr>
            <w:r>
              <w:rPr>
                <w:rStyle w:val="Pladsholdertekst"/>
                <w:rFonts w:ascii="Calibri" w:hAnsi="Calibri" w:cs="Calibri"/>
                <w:color w:val="auto"/>
                <w:sz w:val="16"/>
                <w:szCs w:val="16"/>
              </w:rPr>
              <w:t>Skattefaglig Forenings Skatteudvalg - SRF</w:t>
            </w:r>
          </w:p>
        </w:tc>
        <w:tc>
          <w:tcPr>
            <w:tcW w:w="3536" w:type="dxa"/>
            <w:vAlign w:val="center"/>
          </w:tcPr>
          <w:p w:rsidR="003E40E3" w:rsidRDefault="003E40E3" w:rsidP="00D40120">
            <w:pPr>
              <w:spacing w:after="60"/>
              <w:rPr>
                <w:rStyle w:val="Pladsholdertekst"/>
                <w:rFonts w:ascii="Calibri" w:hAnsi="Calibri" w:cs="Calibri"/>
                <w:color w:val="000000" w:themeColor="text1"/>
                <w:sz w:val="16"/>
                <w:szCs w:val="16"/>
              </w:rPr>
            </w:pPr>
            <w:r w:rsidRPr="0077235E">
              <w:rPr>
                <w:rStyle w:val="Pladsholdertekst"/>
                <w:rFonts w:ascii="Calibri" w:hAnsi="Calibri" w:cs="Calibri"/>
                <w:color w:val="000000" w:themeColor="text1"/>
                <w:sz w:val="16"/>
                <w:szCs w:val="16"/>
              </w:rPr>
              <w:t>Overordnet bemærker foreningen, at forslaget bringer reglerne om exitbeskatning i overen</w:t>
            </w:r>
            <w:r w:rsidRPr="0077235E">
              <w:rPr>
                <w:rStyle w:val="Pladsholdertekst"/>
                <w:rFonts w:ascii="Calibri" w:hAnsi="Calibri" w:cs="Calibri"/>
                <w:color w:val="000000" w:themeColor="text1"/>
                <w:sz w:val="16"/>
                <w:szCs w:val="16"/>
              </w:rPr>
              <w:t>s</w:t>
            </w:r>
            <w:r w:rsidRPr="0077235E">
              <w:rPr>
                <w:rStyle w:val="Pladsholdertekst"/>
                <w:rFonts w:ascii="Calibri" w:hAnsi="Calibri" w:cs="Calibri"/>
                <w:color w:val="000000" w:themeColor="text1"/>
                <w:sz w:val="16"/>
                <w:szCs w:val="16"/>
              </w:rPr>
              <w:t xml:space="preserve">stemmelse med EU-retten. </w:t>
            </w:r>
          </w:p>
          <w:p w:rsidR="003E40E3" w:rsidRDefault="003E40E3" w:rsidP="00D40120">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I forhold til muligheden for at se bort fra fristove</w:t>
            </w:r>
            <w:r>
              <w:rPr>
                <w:rStyle w:val="Pladsholdertekst"/>
                <w:rFonts w:ascii="Calibri" w:hAnsi="Calibri" w:cs="Calibri"/>
                <w:color w:val="000000" w:themeColor="text1"/>
                <w:sz w:val="16"/>
                <w:szCs w:val="16"/>
              </w:rPr>
              <w:t>r</w:t>
            </w:r>
            <w:r>
              <w:rPr>
                <w:rStyle w:val="Pladsholdertekst"/>
                <w:rFonts w:ascii="Calibri" w:hAnsi="Calibri" w:cs="Calibri"/>
                <w:color w:val="000000" w:themeColor="text1"/>
                <w:sz w:val="16"/>
                <w:szCs w:val="16"/>
              </w:rPr>
              <w:t xml:space="preserve">skridelse, udtrykker foreningen ønske om, at reglerne tydeliggøres, herunder hvordan begrebet ”kortere varighed” skal forstås. De foreslår, at der skal kunne ske frafald af skattetillæg, hvis særlige omstændigheder taler herfor. </w:t>
            </w:r>
          </w:p>
          <w:p w:rsidR="003E40E3" w:rsidRDefault="003E40E3" w:rsidP="00D40120">
            <w:pPr>
              <w:spacing w:after="60"/>
              <w:rPr>
                <w:rStyle w:val="Pladsholdertekst"/>
                <w:rFonts w:ascii="Calibri" w:hAnsi="Calibri" w:cs="Calibri"/>
                <w:color w:val="000000" w:themeColor="text1"/>
                <w:sz w:val="16"/>
                <w:szCs w:val="16"/>
              </w:rPr>
            </w:pPr>
          </w:p>
          <w:p w:rsidR="003E40E3" w:rsidRDefault="003E40E3" w:rsidP="00D40120">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Hvad angår afdragene på henstandssaldoen ø</w:t>
            </w:r>
            <w:r>
              <w:rPr>
                <w:rStyle w:val="Pladsholdertekst"/>
                <w:rFonts w:ascii="Calibri" w:hAnsi="Calibri" w:cs="Calibri"/>
                <w:color w:val="000000" w:themeColor="text1"/>
                <w:sz w:val="16"/>
                <w:szCs w:val="16"/>
              </w:rPr>
              <w:t>n</w:t>
            </w:r>
            <w:r>
              <w:rPr>
                <w:rStyle w:val="Pladsholdertekst"/>
                <w:rFonts w:ascii="Calibri" w:hAnsi="Calibri" w:cs="Calibri"/>
                <w:color w:val="000000" w:themeColor="text1"/>
                <w:sz w:val="16"/>
                <w:szCs w:val="16"/>
              </w:rPr>
              <w:t>sker foreningen det tydeliggjort, at der for ove</w:t>
            </w:r>
            <w:r>
              <w:rPr>
                <w:rStyle w:val="Pladsholdertekst"/>
                <w:rFonts w:ascii="Calibri" w:hAnsi="Calibri" w:cs="Calibri"/>
                <w:color w:val="000000" w:themeColor="text1"/>
                <w:sz w:val="16"/>
                <w:szCs w:val="16"/>
              </w:rPr>
              <w:t>r</w:t>
            </w:r>
            <w:r>
              <w:rPr>
                <w:rStyle w:val="Pladsholdertekst"/>
                <w:rFonts w:ascii="Calibri" w:hAnsi="Calibri" w:cs="Calibri"/>
                <w:color w:val="000000" w:themeColor="text1"/>
                <w:sz w:val="16"/>
                <w:szCs w:val="16"/>
              </w:rPr>
              <w:t>førselsåret skal beregnes afdrag med mindst 1/7 uden hensyn til, hvornår i indkomståret overfør</w:t>
            </w:r>
            <w:r>
              <w:rPr>
                <w:rStyle w:val="Pladsholdertekst"/>
                <w:rFonts w:ascii="Calibri" w:hAnsi="Calibri" w:cs="Calibri"/>
                <w:color w:val="000000" w:themeColor="text1"/>
                <w:sz w:val="16"/>
                <w:szCs w:val="16"/>
              </w:rPr>
              <w:t>s</w:t>
            </w:r>
            <w:r>
              <w:rPr>
                <w:rStyle w:val="Pladsholdertekst"/>
                <w:rFonts w:ascii="Calibri" w:hAnsi="Calibri" w:cs="Calibri"/>
                <w:color w:val="000000" w:themeColor="text1"/>
                <w:sz w:val="16"/>
                <w:szCs w:val="16"/>
              </w:rPr>
              <w:t xml:space="preserve">len finder sted.   </w:t>
            </w:r>
          </w:p>
          <w:p w:rsidR="003E40E3" w:rsidRDefault="003E40E3" w:rsidP="00D40120">
            <w:pPr>
              <w:spacing w:after="60"/>
              <w:rPr>
                <w:rStyle w:val="Pladsholdertekst"/>
                <w:rFonts w:ascii="Calibri" w:hAnsi="Calibri" w:cs="Calibri"/>
                <w:color w:val="000000" w:themeColor="text1"/>
                <w:sz w:val="16"/>
                <w:szCs w:val="16"/>
              </w:rPr>
            </w:pPr>
          </w:p>
          <w:p w:rsidR="003E40E3" w:rsidRDefault="003E40E3" w:rsidP="00D40120">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Foreningen nævner endvidere, at i forhold til, at henstandsbeløbet skal afdrages i takt med, at der oppebæres indtægt, herunder realiserede gevi</w:t>
            </w:r>
            <w:r>
              <w:rPr>
                <w:rStyle w:val="Pladsholdertekst"/>
                <w:rFonts w:ascii="Calibri" w:hAnsi="Calibri" w:cs="Calibri"/>
                <w:color w:val="000000" w:themeColor="text1"/>
                <w:sz w:val="16"/>
                <w:szCs w:val="16"/>
              </w:rPr>
              <w:t>n</w:t>
            </w:r>
            <w:r>
              <w:rPr>
                <w:rStyle w:val="Pladsholdertekst"/>
                <w:rFonts w:ascii="Calibri" w:hAnsi="Calibri" w:cs="Calibri"/>
                <w:color w:val="000000" w:themeColor="text1"/>
                <w:sz w:val="16"/>
                <w:szCs w:val="16"/>
              </w:rPr>
              <w:t xml:space="preserve">ster mv., anser de det for særdeles vanskeligt for selskaberne at fiksere et afkast af driftsmidler og immaterielle aktiver, som selskabet selv anvender i et fast driftssted i udlandet.   </w:t>
            </w:r>
          </w:p>
          <w:p w:rsidR="003E40E3" w:rsidRDefault="003E40E3" w:rsidP="00D40120">
            <w:pPr>
              <w:spacing w:after="60"/>
              <w:rPr>
                <w:rStyle w:val="Pladsholdertekst"/>
                <w:rFonts w:ascii="Calibri" w:hAnsi="Calibri" w:cs="Calibri"/>
                <w:color w:val="000000" w:themeColor="text1"/>
                <w:sz w:val="16"/>
                <w:szCs w:val="16"/>
              </w:rPr>
            </w:pPr>
          </w:p>
          <w:p w:rsidR="003E40E3" w:rsidRDefault="00D40120" w:rsidP="00D40120">
            <w:pPr>
              <w:pStyle w:val="Modtageradresseibrevhoved"/>
              <w:spacing w:after="60" w:line="240" w:lineRule="auto"/>
              <w:jc w:val="both"/>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 xml:space="preserve">Foreningen </w:t>
            </w:r>
            <w:r w:rsidR="003E40E3">
              <w:rPr>
                <w:rStyle w:val="Pladsholdertekst"/>
                <w:rFonts w:ascii="Calibri" w:hAnsi="Calibri" w:cs="Calibri"/>
                <w:color w:val="000000" w:themeColor="text1"/>
                <w:sz w:val="16"/>
                <w:szCs w:val="16"/>
              </w:rPr>
              <w:t>finder, at rækkevidden af bestemme</w:t>
            </w:r>
            <w:r w:rsidR="003E40E3">
              <w:rPr>
                <w:rStyle w:val="Pladsholdertekst"/>
                <w:rFonts w:ascii="Calibri" w:hAnsi="Calibri" w:cs="Calibri"/>
                <w:color w:val="000000" w:themeColor="text1"/>
                <w:sz w:val="16"/>
                <w:szCs w:val="16"/>
              </w:rPr>
              <w:t>l</w:t>
            </w:r>
            <w:r w:rsidR="003E40E3">
              <w:rPr>
                <w:rStyle w:val="Pladsholdertekst"/>
                <w:rFonts w:ascii="Calibri" w:hAnsi="Calibri" w:cs="Calibri"/>
                <w:color w:val="000000" w:themeColor="text1"/>
                <w:sz w:val="16"/>
                <w:szCs w:val="16"/>
              </w:rPr>
              <w:t>serne bør udbygges, så henstandssaldoen ikke blot forfalder ved overførsel af aktiver til et selskab uden for EU/EØS, men også i den situation, hvor det udenlandske selskab, hvortil aktivet er ove</w:t>
            </w:r>
            <w:r w:rsidR="003E40E3">
              <w:rPr>
                <w:rStyle w:val="Pladsholdertekst"/>
                <w:rFonts w:ascii="Calibri" w:hAnsi="Calibri" w:cs="Calibri"/>
                <w:color w:val="000000" w:themeColor="text1"/>
                <w:sz w:val="16"/>
                <w:szCs w:val="16"/>
              </w:rPr>
              <w:t>r</w:t>
            </w:r>
            <w:r w:rsidR="003E40E3">
              <w:rPr>
                <w:rStyle w:val="Pladsholdertekst"/>
                <w:rFonts w:ascii="Calibri" w:hAnsi="Calibri" w:cs="Calibri"/>
                <w:color w:val="000000" w:themeColor="text1"/>
                <w:sz w:val="16"/>
                <w:szCs w:val="16"/>
              </w:rPr>
              <w:t xml:space="preserve">ført, skattemæssigt bliver hjemmehørende i et land uden for EU/EØS, og den situation, hvor aktivet ved en skattefri omstrukturering bliver inddraget i et selskab, der er skattemæssigt hjemmehørende i et land uden for EU/EØS. </w:t>
            </w:r>
          </w:p>
          <w:p w:rsidR="003E40E3" w:rsidRDefault="003E40E3" w:rsidP="00D40120">
            <w:pPr>
              <w:pStyle w:val="Modtageradresseibrevhoved"/>
              <w:spacing w:after="60" w:line="240" w:lineRule="auto"/>
              <w:jc w:val="both"/>
              <w:rPr>
                <w:rFonts w:ascii="Arial" w:hAnsi="Arial" w:cs="Arial"/>
                <w:sz w:val="24"/>
                <w:szCs w:val="24"/>
              </w:rPr>
            </w:pPr>
          </w:p>
          <w:p w:rsidR="003E40E3" w:rsidRPr="005F4CBC" w:rsidRDefault="003E40E3" w:rsidP="00D40120">
            <w:pPr>
              <w:pStyle w:val="Modtageradresseibrevhoved"/>
              <w:spacing w:after="60" w:line="240" w:lineRule="auto"/>
              <w:jc w:val="both"/>
              <w:rPr>
                <w:rStyle w:val="Pladsholdertekst"/>
                <w:rFonts w:ascii="Calibri" w:hAnsi="Calibri" w:cs="Calibri"/>
                <w:color w:val="000000" w:themeColor="text1"/>
                <w:sz w:val="16"/>
                <w:szCs w:val="16"/>
              </w:rPr>
            </w:pPr>
            <w:r>
              <w:rPr>
                <w:rFonts w:asciiTheme="majorHAnsi" w:hAnsiTheme="majorHAnsi" w:cstheme="majorHAnsi"/>
                <w:sz w:val="16"/>
                <w:szCs w:val="16"/>
              </w:rPr>
              <w:t>Foreningen</w:t>
            </w:r>
            <w:r w:rsidRPr="00845B1D">
              <w:rPr>
                <w:rFonts w:asciiTheme="majorHAnsi" w:hAnsiTheme="majorHAnsi" w:cstheme="majorHAnsi"/>
                <w:sz w:val="16"/>
                <w:szCs w:val="16"/>
              </w:rPr>
              <w:t xml:space="preserve"> finder</w:t>
            </w:r>
            <w:r>
              <w:rPr>
                <w:rFonts w:asciiTheme="majorHAnsi" w:hAnsiTheme="majorHAnsi" w:cstheme="majorHAnsi"/>
                <w:sz w:val="16"/>
                <w:szCs w:val="16"/>
              </w:rPr>
              <w:t xml:space="preserve"> endelig</w:t>
            </w:r>
            <w:r w:rsidRPr="00845B1D">
              <w:rPr>
                <w:rFonts w:asciiTheme="majorHAnsi" w:hAnsiTheme="majorHAnsi" w:cstheme="majorHAnsi"/>
                <w:sz w:val="16"/>
                <w:szCs w:val="16"/>
              </w:rPr>
              <w:t>, at det bør overvejes, hvordan det forhindres, at realisation undgås ved, at det i udlandet hjemmehørende selskab fører sit regn</w:t>
            </w:r>
            <w:r>
              <w:rPr>
                <w:rFonts w:asciiTheme="majorHAnsi" w:hAnsiTheme="majorHAnsi" w:cstheme="majorHAnsi"/>
                <w:sz w:val="16"/>
                <w:szCs w:val="16"/>
              </w:rPr>
              <w:t>skab i udenlandsk</w:t>
            </w:r>
            <w:r w:rsidRPr="00845B1D">
              <w:rPr>
                <w:rFonts w:asciiTheme="majorHAnsi" w:hAnsiTheme="majorHAnsi" w:cstheme="majorHAnsi"/>
                <w:sz w:val="16"/>
                <w:szCs w:val="16"/>
              </w:rPr>
              <w:t xml:space="preserve"> valuta, når der er tale om overførsel af aktiver eller lån og forpligtelser, hvor der en urealiseret valutakursgevinst omfattet af kursgevinstloven, jævnfør situationen i National Grid Indus dommen (EU domstolens sag C- 371/10).</w:t>
            </w:r>
          </w:p>
        </w:tc>
        <w:tc>
          <w:tcPr>
            <w:tcW w:w="4406" w:type="dxa"/>
          </w:tcPr>
          <w:p w:rsidR="00D40120" w:rsidRDefault="00D40120" w:rsidP="00D40120">
            <w:pPr>
              <w:spacing w:after="60"/>
              <w:rPr>
                <w:rStyle w:val="Pladsholdertekst"/>
                <w:rFonts w:ascii="Calibri" w:hAnsi="Calibri" w:cs="Calibri"/>
                <w:color w:val="000000" w:themeColor="text1"/>
                <w:sz w:val="16"/>
                <w:szCs w:val="16"/>
              </w:rPr>
            </w:pPr>
          </w:p>
          <w:p w:rsidR="00D40120" w:rsidRDefault="00D40120" w:rsidP="00D40120">
            <w:pPr>
              <w:spacing w:after="60"/>
              <w:rPr>
                <w:rStyle w:val="Pladsholdertekst"/>
                <w:rFonts w:ascii="Calibri" w:hAnsi="Calibri" w:cs="Calibri"/>
                <w:color w:val="000000" w:themeColor="text1"/>
                <w:sz w:val="16"/>
                <w:szCs w:val="16"/>
              </w:rPr>
            </w:pPr>
          </w:p>
          <w:p w:rsidR="00D40120" w:rsidRDefault="00D40120" w:rsidP="00D40120">
            <w:pPr>
              <w:spacing w:after="60"/>
              <w:rPr>
                <w:rStyle w:val="Pladsholdertekst"/>
                <w:rFonts w:ascii="Calibri" w:hAnsi="Calibri" w:cs="Calibri"/>
                <w:color w:val="000000" w:themeColor="text1"/>
                <w:sz w:val="16"/>
                <w:szCs w:val="16"/>
              </w:rPr>
            </w:pPr>
          </w:p>
          <w:p w:rsidR="00D40120" w:rsidRDefault="00D40120" w:rsidP="00D40120">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Begrebet ”</w:t>
            </w:r>
            <w:r>
              <w:rPr>
                <w:rStyle w:val="Pladsholdertekst"/>
                <w:rFonts w:ascii="Calibri" w:hAnsi="Calibri" w:cs="Calibri"/>
                <w:i/>
                <w:iCs/>
                <w:color w:val="000000" w:themeColor="text1"/>
                <w:sz w:val="16"/>
                <w:szCs w:val="16"/>
              </w:rPr>
              <w:t>kortere varighed</w:t>
            </w:r>
            <w:r>
              <w:rPr>
                <w:rStyle w:val="Pladsholdertekst"/>
                <w:rFonts w:ascii="Calibri" w:hAnsi="Calibri" w:cs="Calibri"/>
                <w:color w:val="000000" w:themeColor="text1"/>
                <w:sz w:val="16"/>
                <w:szCs w:val="16"/>
              </w:rPr>
              <w:t xml:space="preserve">” er tydeliggjort i lovforslagets bemærkninger, hvor det er anført, at der kan ses bort fra en fristoverskridelse, hvis omstændighederne ud fra en konkret vurdering taler for det. </w:t>
            </w:r>
          </w:p>
          <w:p w:rsidR="00D40120" w:rsidRDefault="00D40120" w:rsidP="00D40120">
            <w:pPr>
              <w:spacing w:after="60"/>
              <w:rPr>
                <w:rStyle w:val="Pladsholdertekst"/>
                <w:rFonts w:ascii="Calibri" w:hAnsi="Calibri" w:cs="Calibri"/>
                <w:color w:val="000000" w:themeColor="text1"/>
                <w:sz w:val="16"/>
                <w:szCs w:val="16"/>
              </w:rPr>
            </w:pPr>
          </w:p>
          <w:p w:rsidR="003E40E3" w:rsidRDefault="003E40E3" w:rsidP="00D40120">
            <w:pPr>
              <w:spacing w:after="60"/>
              <w:rPr>
                <w:rStyle w:val="Pladsholdertekst"/>
                <w:rFonts w:ascii="Calibri" w:hAnsi="Calibri" w:cs="Calibri"/>
                <w:color w:val="000000" w:themeColor="text1"/>
                <w:sz w:val="16"/>
                <w:szCs w:val="16"/>
              </w:rPr>
            </w:pPr>
          </w:p>
          <w:p w:rsidR="00D40120" w:rsidRDefault="00D40120" w:rsidP="00D40120">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I forhold til ønsket om en specificering af, at der for overførsel</w:t>
            </w:r>
            <w:r>
              <w:rPr>
                <w:rStyle w:val="Pladsholdertekst"/>
                <w:rFonts w:ascii="Calibri" w:hAnsi="Calibri" w:cs="Calibri"/>
                <w:color w:val="000000" w:themeColor="text1"/>
                <w:sz w:val="16"/>
                <w:szCs w:val="16"/>
              </w:rPr>
              <w:t>s</w:t>
            </w:r>
            <w:r>
              <w:rPr>
                <w:rStyle w:val="Pladsholdertekst"/>
                <w:rFonts w:ascii="Calibri" w:hAnsi="Calibri" w:cs="Calibri"/>
                <w:color w:val="000000" w:themeColor="text1"/>
                <w:sz w:val="16"/>
                <w:szCs w:val="16"/>
              </w:rPr>
              <w:t>året skal beregnes afdrag med mindst 1/7 uden hensyn til, hvornår i indkomståret overførslen finder sted, er dette tydeli</w:t>
            </w:r>
            <w:r>
              <w:rPr>
                <w:rStyle w:val="Pladsholdertekst"/>
                <w:rFonts w:ascii="Calibri" w:hAnsi="Calibri" w:cs="Calibri"/>
                <w:color w:val="000000" w:themeColor="text1"/>
                <w:sz w:val="16"/>
                <w:szCs w:val="16"/>
              </w:rPr>
              <w:t>g</w:t>
            </w:r>
            <w:r>
              <w:rPr>
                <w:rStyle w:val="Pladsholdertekst"/>
                <w:rFonts w:ascii="Calibri" w:hAnsi="Calibri" w:cs="Calibri"/>
                <w:color w:val="000000" w:themeColor="text1"/>
                <w:sz w:val="16"/>
                <w:szCs w:val="16"/>
              </w:rPr>
              <w:t xml:space="preserve">gjort i bemærkningerne til § 1, nr. 1, i lovforslaget. </w:t>
            </w:r>
          </w:p>
          <w:p w:rsidR="003E40E3" w:rsidRDefault="003E40E3" w:rsidP="00D40120">
            <w:pPr>
              <w:spacing w:after="60"/>
              <w:rPr>
                <w:rStyle w:val="Pladsholdertekst"/>
                <w:rFonts w:ascii="Calibri" w:hAnsi="Calibri" w:cs="Calibri"/>
                <w:color w:val="000000" w:themeColor="text1"/>
                <w:sz w:val="16"/>
                <w:szCs w:val="16"/>
              </w:rPr>
            </w:pPr>
          </w:p>
          <w:p w:rsidR="003E40E3" w:rsidRDefault="003E40E3" w:rsidP="00D40120">
            <w:pPr>
              <w:spacing w:after="60"/>
              <w:rPr>
                <w:rStyle w:val="Pladsholdertekst"/>
                <w:rFonts w:ascii="Calibri" w:hAnsi="Calibri" w:cs="Calibri"/>
                <w:color w:val="000000" w:themeColor="text1"/>
                <w:sz w:val="16"/>
                <w:szCs w:val="16"/>
              </w:rPr>
            </w:pPr>
          </w:p>
          <w:p w:rsidR="00D40120" w:rsidRDefault="00D40120" w:rsidP="00D40120">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Der henvises til kommentaren til henvendelsen fra Dansk E</w:t>
            </w:r>
            <w:r>
              <w:rPr>
                <w:rStyle w:val="Pladsholdertekst"/>
                <w:rFonts w:ascii="Calibri" w:hAnsi="Calibri" w:cs="Calibri"/>
                <w:color w:val="000000" w:themeColor="text1"/>
                <w:sz w:val="16"/>
                <w:szCs w:val="16"/>
              </w:rPr>
              <w:t>r</w:t>
            </w:r>
            <w:r>
              <w:rPr>
                <w:rStyle w:val="Pladsholdertekst"/>
                <w:rFonts w:ascii="Calibri" w:hAnsi="Calibri" w:cs="Calibri"/>
                <w:color w:val="000000" w:themeColor="text1"/>
                <w:sz w:val="16"/>
                <w:szCs w:val="16"/>
              </w:rPr>
              <w:t>hverv.</w:t>
            </w:r>
          </w:p>
          <w:p w:rsidR="003E40E3" w:rsidRDefault="003E40E3" w:rsidP="00D40120">
            <w:pPr>
              <w:spacing w:after="60"/>
              <w:rPr>
                <w:rStyle w:val="Pladsholdertekst"/>
                <w:rFonts w:ascii="Calibri" w:hAnsi="Calibri" w:cs="Calibri"/>
                <w:color w:val="000000" w:themeColor="text1"/>
                <w:sz w:val="16"/>
                <w:szCs w:val="16"/>
              </w:rPr>
            </w:pPr>
          </w:p>
          <w:p w:rsidR="003E40E3" w:rsidRDefault="003E40E3" w:rsidP="00D40120">
            <w:pPr>
              <w:spacing w:after="60"/>
              <w:rPr>
                <w:rStyle w:val="Pladsholdertekst"/>
                <w:rFonts w:ascii="Calibri" w:hAnsi="Calibri" w:cs="Calibri"/>
                <w:color w:val="000000" w:themeColor="text1"/>
                <w:sz w:val="16"/>
                <w:szCs w:val="16"/>
              </w:rPr>
            </w:pPr>
          </w:p>
          <w:p w:rsidR="003E40E3" w:rsidRDefault="003E40E3" w:rsidP="00D40120">
            <w:pPr>
              <w:spacing w:after="60"/>
              <w:rPr>
                <w:rStyle w:val="Pladsholdertekst"/>
                <w:rFonts w:ascii="Calibri" w:hAnsi="Calibri" w:cs="Calibri"/>
                <w:color w:val="000000" w:themeColor="text1"/>
                <w:sz w:val="16"/>
                <w:szCs w:val="16"/>
              </w:rPr>
            </w:pPr>
          </w:p>
          <w:p w:rsidR="003E40E3" w:rsidRDefault="003E40E3" w:rsidP="00D40120">
            <w:pPr>
              <w:spacing w:after="60"/>
              <w:rPr>
                <w:rStyle w:val="Pladsholdertekst"/>
                <w:rFonts w:ascii="Calibri" w:hAnsi="Calibri" w:cs="Calibri"/>
                <w:color w:val="000000" w:themeColor="text1"/>
                <w:sz w:val="16"/>
                <w:szCs w:val="16"/>
              </w:rPr>
            </w:pPr>
          </w:p>
          <w:p w:rsidR="003E40E3" w:rsidRDefault="003E40E3" w:rsidP="00D40120">
            <w:pPr>
              <w:spacing w:after="60"/>
              <w:rPr>
                <w:rStyle w:val="Pladsholdertekst"/>
                <w:rFonts w:ascii="Calibri" w:hAnsi="Calibri" w:cs="Calibri"/>
                <w:color w:val="000000" w:themeColor="text1"/>
                <w:sz w:val="16"/>
                <w:szCs w:val="16"/>
              </w:rPr>
            </w:pPr>
          </w:p>
          <w:p w:rsidR="003E40E3" w:rsidRDefault="00E36B65" w:rsidP="00D40120">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 xml:space="preserve">Skatteministeriet er </w:t>
            </w:r>
            <w:proofErr w:type="gramStart"/>
            <w:r>
              <w:rPr>
                <w:rStyle w:val="Pladsholdertekst"/>
                <w:rFonts w:ascii="Calibri" w:hAnsi="Calibri" w:cs="Calibri"/>
                <w:color w:val="000000" w:themeColor="text1"/>
                <w:sz w:val="16"/>
                <w:szCs w:val="16"/>
              </w:rPr>
              <w:t>enig</w:t>
            </w:r>
            <w:proofErr w:type="gramEnd"/>
            <w:r>
              <w:rPr>
                <w:rStyle w:val="Pladsholdertekst"/>
                <w:rFonts w:ascii="Calibri" w:hAnsi="Calibri" w:cs="Calibri"/>
                <w:color w:val="000000" w:themeColor="text1"/>
                <w:sz w:val="16"/>
                <w:szCs w:val="16"/>
              </w:rPr>
              <w:t xml:space="preserve"> i, at de pågældende situationer medf</w:t>
            </w:r>
            <w:r>
              <w:rPr>
                <w:rStyle w:val="Pladsholdertekst"/>
                <w:rFonts w:ascii="Calibri" w:hAnsi="Calibri" w:cs="Calibri"/>
                <w:color w:val="000000" w:themeColor="text1"/>
                <w:sz w:val="16"/>
                <w:szCs w:val="16"/>
              </w:rPr>
              <w:t>ø</w:t>
            </w:r>
            <w:r>
              <w:rPr>
                <w:rStyle w:val="Pladsholdertekst"/>
                <w:rFonts w:ascii="Calibri" w:hAnsi="Calibri" w:cs="Calibri"/>
                <w:color w:val="000000" w:themeColor="text1"/>
                <w:sz w:val="16"/>
                <w:szCs w:val="16"/>
              </w:rPr>
              <w:t>rer, at aktivet anses for afstået og gevinsten derfor skal me</w:t>
            </w:r>
            <w:r>
              <w:rPr>
                <w:rStyle w:val="Pladsholdertekst"/>
                <w:rFonts w:ascii="Calibri" w:hAnsi="Calibri" w:cs="Calibri"/>
                <w:color w:val="000000" w:themeColor="text1"/>
                <w:sz w:val="16"/>
                <w:szCs w:val="16"/>
              </w:rPr>
              <w:t>d</w:t>
            </w:r>
            <w:r>
              <w:rPr>
                <w:rStyle w:val="Pladsholdertekst"/>
                <w:rFonts w:ascii="Calibri" w:hAnsi="Calibri" w:cs="Calibri"/>
                <w:color w:val="000000" w:themeColor="text1"/>
                <w:sz w:val="16"/>
                <w:szCs w:val="16"/>
              </w:rPr>
              <w:t xml:space="preserve">regnes ved indtægtsopgørelsen i den foreslåede § 27, stk. 2. Såvel § 27, stk. 2 og 4 er blevet justeret for at tydeliggøre dette. </w:t>
            </w:r>
          </w:p>
          <w:p w:rsidR="003E40E3" w:rsidRDefault="003E40E3" w:rsidP="00D40120">
            <w:pPr>
              <w:spacing w:after="60"/>
              <w:rPr>
                <w:rStyle w:val="Pladsholdertekst"/>
                <w:rFonts w:ascii="Calibri" w:hAnsi="Calibri" w:cs="Calibri"/>
                <w:color w:val="000000" w:themeColor="text1"/>
                <w:sz w:val="16"/>
                <w:szCs w:val="16"/>
              </w:rPr>
            </w:pPr>
          </w:p>
          <w:p w:rsidR="00E36B65" w:rsidRDefault="00E36B65" w:rsidP="00D40120">
            <w:pPr>
              <w:spacing w:after="60"/>
              <w:rPr>
                <w:rStyle w:val="Pladsholdertekst"/>
                <w:rFonts w:ascii="Calibri" w:hAnsi="Calibri" w:cs="Calibri"/>
                <w:color w:val="000000" w:themeColor="text1"/>
                <w:sz w:val="16"/>
                <w:szCs w:val="16"/>
              </w:rPr>
            </w:pPr>
          </w:p>
          <w:p w:rsidR="00E36B65" w:rsidRDefault="00E36B65" w:rsidP="00D40120">
            <w:pPr>
              <w:spacing w:after="60"/>
              <w:rPr>
                <w:rStyle w:val="Pladsholdertekst"/>
                <w:rFonts w:ascii="Calibri" w:hAnsi="Calibri" w:cs="Calibri"/>
                <w:color w:val="000000" w:themeColor="text1"/>
                <w:sz w:val="16"/>
                <w:szCs w:val="16"/>
              </w:rPr>
            </w:pPr>
          </w:p>
          <w:p w:rsidR="00E36B65" w:rsidRDefault="00E36B65" w:rsidP="00D40120">
            <w:pPr>
              <w:spacing w:after="60"/>
              <w:rPr>
                <w:rStyle w:val="Pladsholdertekst"/>
                <w:rFonts w:ascii="Calibri" w:hAnsi="Calibri" w:cs="Calibri"/>
                <w:color w:val="000000" w:themeColor="text1"/>
                <w:sz w:val="16"/>
                <w:szCs w:val="16"/>
              </w:rPr>
            </w:pPr>
          </w:p>
          <w:p w:rsidR="00E36B65" w:rsidRDefault="00E36B65" w:rsidP="00D40120">
            <w:pPr>
              <w:spacing w:after="60"/>
              <w:rPr>
                <w:rStyle w:val="Pladsholdertekst"/>
                <w:rFonts w:ascii="Calibri" w:hAnsi="Calibri" w:cs="Calibri"/>
                <w:color w:val="000000" w:themeColor="text1"/>
                <w:sz w:val="16"/>
                <w:szCs w:val="16"/>
              </w:rPr>
            </w:pPr>
          </w:p>
          <w:p w:rsidR="00E36B65" w:rsidRDefault="00E36B65" w:rsidP="00D40120">
            <w:pPr>
              <w:spacing w:after="60"/>
              <w:rPr>
                <w:rStyle w:val="Pladsholdertekst"/>
                <w:rFonts w:ascii="Calibri" w:hAnsi="Calibri" w:cs="Calibri"/>
                <w:color w:val="000000" w:themeColor="text1"/>
                <w:sz w:val="16"/>
                <w:szCs w:val="16"/>
              </w:rPr>
            </w:pPr>
          </w:p>
          <w:p w:rsidR="003E40E3" w:rsidRDefault="003E40E3" w:rsidP="00D40120">
            <w:pPr>
              <w:spacing w:after="60"/>
              <w:rPr>
                <w:rStyle w:val="Pladsholdertekst"/>
                <w:rFonts w:ascii="Calibri" w:hAnsi="Calibri" w:cs="Calibri"/>
                <w:color w:val="000000" w:themeColor="text1"/>
                <w:sz w:val="16"/>
                <w:szCs w:val="16"/>
              </w:rPr>
            </w:pPr>
            <w:r>
              <w:rPr>
                <w:rStyle w:val="Pladsholdertekst"/>
                <w:rFonts w:ascii="Calibri" w:hAnsi="Calibri" w:cs="Calibri"/>
                <w:color w:val="000000" w:themeColor="text1"/>
                <w:sz w:val="16"/>
                <w:szCs w:val="16"/>
              </w:rPr>
              <w:t xml:space="preserve">I forhold til den refererede sag (National Grid Indus- dommen) blev der ikke realiseret nogen kapitalgevinst efter udflytningen af hovedsædet, idet flytningen rent faktisk medførte, at risikoen for valutatab på en fordring i fremmed valuta var forsvundet, da fordringen var i engelske pund og udflytningen skete til England. </w:t>
            </w:r>
          </w:p>
          <w:p w:rsidR="003E40E3" w:rsidRPr="00895BF7" w:rsidRDefault="003E40E3" w:rsidP="00D40120">
            <w:pPr>
              <w:spacing w:after="60"/>
              <w:rPr>
                <w:rStyle w:val="Pladsholdertekst"/>
                <w:rFonts w:ascii="Calibri" w:hAnsi="Calibri" w:cs="Calibri"/>
                <w:sz w:val="16"/>
                <w:szCs w:val="16"/>
              </w:rPr>
            </w:pPr>
            <w:r>
              <w:rPr>
                <w:rStyle w:val="Pladsholdertekst"/>
                <w:rFonts w:ascii="Calibri" w:hAnsi="Calibri" w:cs="Calibri"/>
                <w:color w:val="000000" w:themeColor="text1"/>
                <w:sz w:val="16"/>
                <w:szCs w:val="16"/>
              </w:rPr>
              <w:t>Der findes ikke at være grundlag for at hindre sådanne overfør</w:t>
            </w:r>
            <w:r>
              <w:rPr>
                <w:rStyle w:val="Pladsholdertekst"/>
                <w:rFonts w:ascii="Calibri" w:hAnsi="Calibri" w:cs="Calibri"/>
                <w:color w:val="000000" w:themeColor="text1"/>
                <w:sz w:val="16"/>
                <w:szCs w:val="16"/>
              </w:rPr>
              <w:t>s</w:t>
            </w:r>
            <w:r>
              <w:rPr>
                <w:rStyle w:val="Pladsholdertekst"/>
                <w:rFonts w:ascii="Calibri" w:hAnsi="Calibri" w:cs="Calibri"/>
                <w:color w:val="000000" w:themeColor="text1"/>
                <w:sz w:val="16"/>
                <w:szCs w:val="16"/>
              </w:rPr>
              <w:t xml:space="preserve">ler. </w:t>
            </w:r>
          </w:p>
        </w:tc>
      </w:tr>
    </w:tbl>
    <w:p w:rsidR="008620B1" w:rsidRPr="00D97706" w:rsidRDefault="008620B1" w:rsidP="00D40120">
      <w:pPr>
        <w:spacing w:after="60"/>
        <w:rPr>
          <w:rFonts w:ascii="Calibri" w:hAnsi="Calibri" w:cs="Calibri"/>
          <w:sz w:val="18"/>
          <w:szCs w:val="18"/>
          <w:lang w:eastAsia="da-DK"/>
        </w:rPr>
      </w:pPr>
    </w:p>
    <w:sectPr w:rsidR="008620B1" w:rsidRPr="00D97706" w:rsidSect="00E23A98">
      <w:footerReference w:type="default" r:id="rId8"/>
      <w:headerReference w:type="first" r:id="rId9"/>
      <w:footerReference w:type="first" r:id="rId10"/>
      <w:pgSz w:w="11906" w:h="16838" w:code="9"/>
      <w:pgMar w:top="993" w:right="3175"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20" w:rsidRDefault="00D40120" w:rsidP="00431D4B">
      <w:r>
        <w:separator/>
      </w:r>
    </w:p>
  </w:endnote>
  <w:endnote w:type="continuationSeparator" w:id="0">
    <w:p w:rsidR="00D40120" w:rsidRDefault="00D40120" w:rsidP="004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20" w:rsidRPr="00295C4C" w:rsidRDefault="00D40120">
    <w:pPr>
      <w:pStyle w:val="Sidefod"/>
      <w:rPr>
        <w:rFonts w:ascii="Calibri" w:hAnsi="Calibri" w:cs="Calibri"/>
        <w:sz w:val="20"/>
        <w:szCs w:val="20"/>
      </w:rPr>
    </w:pPr>
    <w:r w:rsidRPr="00295C4C">
      <w:rPr>
        <w:rFonts w:ascii="Calibri" w:hAnsi="Calibri" w:cs="Calibri"/>
        <w:sz w:val="20"/>
        <w:szCs w:val="20"/>
      </w:rPr>
      <w:fldChar w:fldCharType="begin"/>
    </w:r>
    <w:r w:rsidRPr="00295C4C">
      <w:rPr>
        <w:rFonts w:ascii="Calibri" w:hAnsi="Calibri" w:cs="Calibri"/>
        <w:sz w:val="20"/>
        <w:szCs w:val="20"/>
      </w:rPr>
      <w:instrText>PAGE   \* MERGEFORMAT</w:instrText>
    </w:r>
    <w:r w:rsidRPr="00295C4C">
      <w:rPr>
        <w:rFonts w:ascii="Calibri" w:hAnsi="Calibri" w:cs="Calibri"/>
        <w:sz w:val="20"/>
        <w:szCs w:val="20"/>
      </w:rPr>
      <w:fldChar w:fldCharType="separate"/>
    </w:r>
    <w:r w:rsidR="006E3D19">
      <w:rPr>
        <w:rFonts w:ascii="Calibri" w:hAnsi="Calibri" w:cs="Calibri"/>
        <w:noProof/>
        <w:sz w:val="20"/>
        <w:szCs w:val="20"/>
      </w:rPr>
      <w:t>5</w:t>
    </w:r>
    <w:r w:rsidRPr="00295C4C">
      <w:rPr>
        <w:rFonts w:ascii="Calibri" w:hAnsi="Calibri" w:cs="Calibri"/>
        <w:sz w:val="20"/>
        <w:szCs w:val="20"/>
      </w:rPr>
      <w:fldChar w:fldCharType="end"/>
    </w:r>
    <w:r w:rsidRPr="00295C4C">
      <w:rPr>
        <w:rFonts w:ascii="Calibri" w:hAnsi="Calibri" w:cs="Calibri"/>
        <w:sz w:val="20"/>
        <w:szCs w:val="20"/>
      </w:rPr>
      <w:t xml:space="preserve"> / </w:t>
    </w:r>
    <w:r w:rsidRPr="00295C4C">
      <w:rPr>
        <w:rFonts w:ascii="Calibri" w:hAnsi="Calibri" w:cs="Calibri"/>
        <w:sz w:val="20"/>
        <w:szCs w:val="20"/>
      </w:rPr>
      <w:fldChar w:fldCharType="begin"/>
    </w:r>
    <w:r w:rsidRPr="00295C4C">
      <w:rPr>
        <w:rFonts w:ascii="Calibri" w:hAnsi="Calibri" w:cs="Calibri"/>
        <w:sz w:val="20"/>
        <w:szCs w:val="20"/>
      </w:rPr>
      <w:instrText xml:space="preserve"> NUMPAGES  \# "0" \* Arabic  \* MERGEFORMAT </w:instrText>
    </w:r>
    <w:r w:rsidRPr="00295C4C">
      <w:rPr>
        <w:rFonts w:ascii="Calibri" w:hAnsi="Calibri" w:cs="Calibri"/>
        <w:sz w:val="20"/>
        <w:szCs w:val="20"/>
      </w:rPr>
      <w:fldChar w:fldCharType="separate"/>
    </w:r>
    <w:r w:rsidR="006E3D19">
      <w:rPr>
        <w:rFonts w:ascii="Calibri" w:hAnsi="Calibri" w:cs="Calibri"/>
        <w:noProof/>
        <w:sz w:val="20"/>
        <w:szCs w:val="20"/>
      </w:rPr>
      <w:t>6</w:t>
    </w:r>
    <w:r w:rsidRPr="00295C4C">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20" w:rsidRPr="00AD7E07" w:rsidRDefault="00D40120">
    <w:pPr>
      <w:pStyle w:val="Sidefod"/>
      <w:rPr>
        <w:rFonts w:ascii="Calibri" w:hAnsi="Calibri" w:cs="Calibri"/>
        <w:sz w:val="20"/>
        <w:szCs w:val="20"/>
      </w:rPr>
    </w:pPr>
    <w:r w:rsidRPr="00AD7E07">
      <w:rPr>
        <w:rFonts w:ascii="Calibri" w:hAnsi="Calibri" w:cs="Calibri"/>
        <w:sz w:val="20"/>
        <w:szCs w:val="20"/>
      </w:rPr>
      <w:fldChar w:fldCharType="begin"/>
    </w:r>
    <w:r w:rsidRPr="00AD7E07">
      <w:rPr>
        <w:rFonts w:ascii="Calibri" w:hAnsi="Calibri" w:cs="Calibri"/>
        <w:sz w:val="20"/>
        <w:szCs w:val="20"/>
      </w:rPr>
      <w:instrText>PAGE   \* MERGEFORMAT</w:instrText>
    </w:r>
    <w:r w:rsidRPr="00AD7E07">
      <w:rPr>
        <w:rFonts w:ascii="Calibri" w:hAnsi="Calibri" w:cs="Calibri"/>
        <w:sz w:val="20"/>
        <w:szCs w:val="20"/>
      </w:rPr>
      <w:fldChar w:fldCharType="separate"/>
    </w:r>
    <w:r w:rsidR="006E3D19">
      <w:rPr>
        <w:rFonts w:ascii="Calibri" w:hAnsi="Calibri" w:cs="Calibri"/>
        <w:noProof/>
        <w:sz w:val="20"/>
        <w:szCs w:val="20"/>
      </w:rPr>
      <w:t>5</w:t>
    </w:r>
    <w:r w:rsidRPr="00AD7E07">
      <w:rPr>
        <w:rFonts w:ascii="Calibri" w:hAnsi="Calibri" w:cs="Calibri"/>
        <w:sz w:val="20"/>
        <w:szCs w:val="20"/>
      </w:rPr>
      <w:fldChar w:fldCharType="end"/>
    </w:r>
    <w:r w:rsidRPr="00AD7E07">
      <w:rPr>
        <w:rFonts w:ascii="Calibri" w:hAnsi="Calibri" w:cs="Calibri"/>
        <w:sz w:val="20"/>
        <w:szCs w:val="20"/>
      </w:rPr>
      <w:t xml:space="preserve"> / </w:t>
    </w:r>
    <w:r w:rsidRPr="00AD7E07">
      <w:rPr>
        <w:rFonts w:ascii="Calibri" w:hAnsi="Calibri" w:cs="Calibri"/>
        <w:sz w:val="20"/>
        <w:szCs w:val="20"/>
      </w:rPr>
      <w:fldChar w:fldCharType="begin"/>
    </w:r>
    <w:r w:rsidRPr="00AD7E07">
      <w:rPr>
        <w:rFonts w:ascii="Calibri" w:hAnsi="Calibri" w:cs="Calibri"/>
        <w:sz w:val="20"/>
        <w:szCs w:val="20"/>
      </w:rPr>
      <w:instrText xml:space="preserve"> NUMPAGES  \# "0" \* Arabic  \* MERGEFORMAT </w:instrText>
    </w:r>
    <w:r w:rsidRPr="00AD7E07">
      <w:rPr>
        <w:rFonts w:ascii="Calibri" w:hAnsi="Calibri" w:cs="Calibri"/>
        <w:sz w:val="20"/>
        <w:szCs w:val="20"/>
      </w:rPr>
      <w:fldChar w:fldCharType="separate"/>
    </w:r>
    <w:r w:rsidR="006E3D19">
      <w:rPr>
        <w:rFonts w:ascii="Calibri" w:hAnsi="Calibri" w:cs="Calibri"/>
        <w:noProof/>
        <w:sz w:val="20"/>
        <w:szCs w:val="20"/>
      </w:rPr>
      <w:t>6</w:t>
    </w:r>
    <w:r w:rsidRPr="00AD7E07">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20" w:rsidRDefault="00D40120" w:rsidP="00431D4B">
      <w:r>
        <w:separator/>
      </w:r>
    </w:p>
  </w:footnote>
  <w:footnote w:type="continuationSeparator" w:id="0">
    <w:p w:rsidR="00D40120" w:rsidRDefault="00D40120" w:rsidP="0043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20" w:rsidRDefault="00D40120">
    <w:pPr>
      <w:pStyle w:val="Sidehoved"/>
    </w:pPr>
  </w:p>
  <w:p w:rsidR="00D40120" w:rsidRDefault="00D40120">
    <w:pPr>
      <w:pStyle w:val="Sidehoved"/>
    </w:pPr>
  </w:p>
  <w:p w:rsidR="00D40120" w:rsidRDefault="00D40120">
    <w:pPr>
      <w:pStyle w:val="Sidehoved"/>
    </w:pPr>
  </w:p>
  <w:p w:rsidR="00D40120" w:rsidRDefault="00D40120">
    <w:pPr>
      <w:pStyle w:val="Sidehoved"/>
    </w:pPr>
  </w:p>
  <w:p w:rsidR="00D40120" w:rsidRDefault="00D40120">
    <w:pPr>
      <w:pStyle w:val="Sidehoved"/>
    </w:pPr>
  </w:p>
  <w:p w:rsidR="00D40120" w:rsidRDefault="00D40120">
    <w:pPr>
      <w:pStyle w:val="Sidehoved"/>
    </w:pPr>
  </w:p>
  <w:p w:rsidR="00D40120" w:rsidRDefault="00D40120">
    <w:pPr>
      <w:pStyle w:val="Sidehoved"/>
    </w:pPr>
  </w:p>
  <w:p w:rsidR="00D40120" w:rsidRDefault="00D40120">
    <w:pPr>
      <w:pStyle w:val="Sidehoved"/>
    </w:pPr>
  </w:p>
  <w:p w:rsidR="00D40120" w:rsidRDefault="00D40120">
    <w:pPr>
      <w:pStyle w:val="Sidehoved"/>
    </w:pPr>
  </w:p>
  <w:p w:rsidR="00D40120" w:rsidRDefault="00D40120">
    <w:pPr>
      <w:pStyle w:val="Sidehoved"/>
    </w:pPr>
  </w:p>
  <w:p w:rsidR="00D40120" w:rsidRDefault="00D40120">
    <w:pPr>
      <w:pStyle w:val="Sidehoved"/>
    </w:pPr>
  </w:p>
  <w:p w:rsidR="00D40120" w:rsidRDefault="00D40120">
    <w:pPr>
      <w:pStyle w:val="Sidehoved"/>
    </w:pPr>
  </w:p>
  <w:p w:rsidR="00D40120" w:rsidRDefault="00D40120">
    <w:pPr>
      <w:pStyle w:val="Sidehoved"/>
    </w:pPr>
    <w:r>
      <w:rPr>
        <w:noProof/>
        <w:lang w:eastAsia="da-DK"/>
      </w:rPr>
      <w:drawing>
        <wp:anchor distT="0" distB="0" distL="114300" distR="114300" simplePos="0" relativeHeight="251659264" behindDoc="0" locked="1" layoutInCell="1" allowOverlap="1" wp14:anchorId="76A17CBB" wp14:editId="2C3AFEA8">
          <wp:simplePos x="0" y="0"/>
          <wp:positionH relativeFrom="rightMargin">
            <wp:posOffset>-2012950</wp:posOffset>
          </wp:positionH>
          <wp:positionV relativeFrom="page">
            <wp:posOffset>323850</wp:posOffset>
          </wp:positionV>
          <wp:extent cx="2088000" cy="619200"/>
          <wp:effectExtent l="0" t="0" r="0" b="0"/>
          <wp:wrapSquare wrapText="bothSides"/>
          <wp:docPr id="2" name="Billede 2" descr="C:\Skat\Skm\SKM_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kat\Skm\SKM_CMYK.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8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67"/>
    <w:rsid w:val="00001311"/>
    <w:rsid w:val="00040B5B"/>
    <w:rsid w:val="00047FE5"/>
    <w:rsid w:val="00053A9B"/>
    <w:rsid w:val="000614B4"/>
    <w:rsid w:val="00077668"/>
    <w:rsid w:val="000905B9"/>
    <w:rsid w:val="00097ED1"/>
    <w:rsid w:val="000A0CEF"/>
    <w:rsid w:val="000D6E69"/>
    <w:rsid w:val="000E2C37"/>
    <w:rsid w:val="000E614B"/>
    <w:rsid w:val="000F7B05"/>
    <w:rsid w:val="00114964"/>
    <w:rsid w:val="001409D4"/>
    <w:rsid w:val="00150AFB"/>
    <w:rsid w:val="00151AD8"/>
    <w:rsid w:val="001F1906"/>
    <w:rsid w:val="00204BD9"/>
    <w:rsid w:val="00210A2E"/>
    <w:rsid w:val="002164D4"/>
    <w:rsid w:val="00271300"/>
    <w:rsid w:val="00292B73"/>
    <w:rsid w:val="00292D4D"/>
    <w:rsid w:val="00293255"/>
    <w:rsid w:val="00295C4C"/>
    <w:rsid w:val="002A2B99"/>
    <w:rsid w:val="002A4613"/>
    <w:rsid w:val="002B557C"/>
    <w:rsid w:val="002B7D29"/>
    <w:rsid w:val="002D3162"/>
    <w:rsid w:val="0030541F"/>
    <w:rsid w:val="003171A6"/>
    <w:rsid w:val="003301BE"/>
    <w:rsid w:val="00354315"/>
    <w:rsid w:val="00372AFB"/>
    <w:rsid w:val="00390510"/>
    <w:rsid w:val="003B3EC2"/>
    <w:rsid w:val="003E16FE"/>
    <w:rsid w:val="003E40E3"/>
    <w:rsid w:val="003F120D"/>
    <w:rsid w:val="00421F40"/>
    <w:rsid w:val="00431D4B"/>
    <w:rsid w:val="00434584"/>
    <w:rsid w:val="00451855"/>
    <w:rsid w:val="00452227"/>
    <w:rsid w:val="00453EA3"/>
    <w:rsid w:val="00461F2E"/>
    <w:rsid w:val="004724B8"/>
    <w:rsid w:val="00481547"/>
    <w:rsid w:val="00485F0D"/>
    <w:rsid w:val="0048702A"/>
    <w:rsid w:val="00490490"/>
    <w:rsid w:val="004B2435"/>
    <w:rsid w:val="004B6BDD"/>
    <w:rsid w:val="004E74AA"/>
    <w:rsid w:val="004F7D52"/>
    <w:rsid w:val="0050675A"/>
    <w:rsid w:val="00507D3B"/>
    <w:rsid w:val="00513DEB"/>
    <w:rsid w:val="0051644C"/>
    <w:rsid w:val="00516D8C"/>
    <w:rsid w:val="0052064B"/>
    <w:rsid w:val="00596D81"/>
    <w:rsid w:val="005D3567"/>
    <w:rsid w:val="006227B0"/>
    <w:rsid w:val="006333F7"/>
    <w:rsid w:val="00646243"/>
    <w:rsid w:val="006640A4"/>
    <w:rsid w:val="00675483"/>
    <w:rsid w:val="00683DCB"/>
    <w:rsid w:val="006B38B0"/>
    <w:rsid w:val="006B61A1"/>
    <w:rsid w:val="006E1C89"/>
    <w:rsid w:val="006E3D19"/>
    <w:rsid w:val="006E78F8"/>
    <w:rsid w:val="007028CC"/>
    <w:rsid w:val="00735751"/>
    <w:rsid w:val="0076711F"/>
    <w:rsid w:val="0079590A"/>
    <w:rsid w:val="007B3F83"/>
    <w:rsid w:val="007D1FCB"/>
    <w:rsid w:val="0083219F"/>
    <w:rsid w:val="00850BB8"/>
    <w:rsid w:val="0085657A"/>
    <w:rsid w:val="008620B1"/>
    <w:rsid w:val="008653D5"/>
    <w:rsid w:val="00907893"/>
    <w:rsid w:val="00934D6E"/>
    <w:rsid w:val="00980121"/>
    <w:rsid w:val="009959AA"/>
    <w:rsid w:val="00A25227"/>
    <w:rsid w:val="00A30173"/>
    <w:rsid w:val="00A315F2"/>
    <w:rsid w:val="00A32367"/>
    <w:rsid w:val="00A5005E"/>
    <w:rsid w:val="00A50F89"/>
    <w:rsid w:val="00A613A2"/>
    <w:rsid w:val="00A85CF2"/>
    <w:rsid w:val="00AA3A41"/>
    <w:rsid w:val="00AA7C3B"/>
    <w:rsid w:val="00AB73C8"/>
    <w:rsid w:val="00AD7E07"/>
    <w:rsid w:val="00B2692D"/>
    <w:rsid w:val="00B32E57"/>
    <w:rsid w:val="00B76181"/>
    <w:rsid w:val="00B77528"/>
    <w:rsid w:val="00B961C7"/>
    <w:rsid w:val="00BC5D4C"/>
    <w:rsid w:val="00BD0A5C"/>
    <w:rsid w:val="00C02547"/>
    <w:rsid w:val="00C6362E"/>
    <w:rsid w:val="00C942E1"/>
    <w:rsid w:val="00CA7A74"/>
    <w:rsid w:val="00CC0582"/>
    <w:rsid w:val="00CE2C69"/>
    <w:rsid w:val="00D40120"/>
    <w:rsid w:val="00D66306"/>
    <w:rsid w:val="00D97706"/>
    <w:rsid w:val="00DA04B1"/>
    <w:rsid w:val="00E01BA6"/>
    <w:rsid w:val="00E23A98"/>
    <w:rsid w:val="00E36B65"/>
    <w:rsid w:val="00EA566E"/>
    <w:rsid w:val="00EB3F9A"/>
    <w:rsid w:val="00ED0BE5"/>
    <w:rsid w:val="00F20B70"/>
    <w:rsid w:val="00F333CA"/>
    <w:rsid w:val="00F34C54"/>
    <w:rsid w:val="00F6444A"/>
    <w:rsid w:val="00F720D8"/>
    <w:rsid w:val="00F971D6"/>
    <w:rsid w:val="00FA0956"/>
    <w:rsid w:val="00FB59A5"/>
    <w:rsid w:val="00FC26F8"/>
    <w:rsid w:val="00FC7C4C"/>
    <w:rsid w:val="00FE12D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9959AA"/>
    <w:pPr>
      <w:keepLines/>
      <w:spacing w:line="360" w:lineRule="exact"/>
      <w:jc w:val="lef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9959AA"/>
    <w:pPr>
      <w:keepLines/>
      <w:suppressAutoHyphens/>
      <w:spacing w:before="240" w:line="288" w:lineRule="exact"/>
      <w:jc w:val="lef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9959AA"/>
    <w:pPr>
      <w:keepNext/>
      <w:spacing w:before="240" w:after="60" w:line="288" w:lineRule="exact"/>
      <w:jc w:val="lef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959AA"/>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9959AA"/>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9959AA"/>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uiPriority w:val="59"/>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 w:type="paragraph" w:customStyle="1" w:styleId="Modtageradresseibrevhoved">
    <w:name w:val="Modtageradresse i brevhoved"/>
    <w:basedOn w:val="Brdtekst"/>
    <w:rsid w:val="00ED0BE5"/>
    <w:pPr>
      <w:spacing w:after="0" w:line="240" w:lineRule="atLeast"/>
      <w:jc w:val="left"/>
    </w:pPr>
    <w:rPr>
      <w:rFonts w:eastAsia="Times New Roman" w:cs="Times New Roman"/>
      <w:kern w:val="18"/>
      <w:sz w:val="20"/>
      <w:szCs w:val="20"/>
      <w:lang w:eastAsia="da-DK"/>
    </w:rPr>
  </w:style>
  <w:style w:type="paragraph" w:customStyle="1" w:styleId="Default">
    <w:name w:val="Default"/>
    <w:rsid w:val="00ED0BE5"/>
    <w:pPr>
      <w:autoSpaceDE w:val="0"/>
      <w:autoSpaceDN w:val="0"/>
      <w:adjustRightInd w:val="0"/>
      <w:spacing w:line="240" w:lineRule="auto"/>
    </w:pPr>
    <w:rPr>
      <w:rFonts w:ascii="Times New Roman" w:hAnsi="Times New Roman" w:cs="Times New Roman"/>
      <w:color w:val="000000"/>
      <w:sz w:val="24"/>
      <w:szCs w:val="24"/>
    </w:rPr>
  </w:style>
  <w:style w:type="paragraph" w:styleId="Brdtekst">
    <w:name w:val="Body Text"/>
    <w:basedOn w:val="Normal"/>
    <w:link w:val="BrdtekstTegn"/>
    <w:uiPriority w:val="99"/>
    <w:semiHidden/>
    <w:unhideWhenUsed/>
    <w:rsid w:val="00ED0BE5"/>
    <w:pPr>
      <w:spacing w:after="120"/>
    </w:pPr>
  </w:style>
  <w:style w:type="character" w:customStyle="1" w:styleId="BrdtekstTegn">
    <w:name w:val="Brødtekst Tegn"/>
    <w:basedOn w:val="Standardskrifttypeiafsnit"/>
    <w:link w:val="Brdtekst"/>
    <w:uiPriority w:val="99"/>
    <w:semiHidden/>
    <w:rsid w:val="00ED0BE5"/>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9959AA"/>
    <w:pPr>
      <w:keepLines/>
      <w:spacing w:line="360" w:lineRule="exact"/>
      <w:jc w:val="lef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9959AA"/>
    <w:pPr>
      <w:keepLines/>
      <w:suppressAutoHyphens/>
      <w:spacing w:before="240" w:line="288" w:lineRule="exact"/>
      <w:jc w:val="lef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9959AA"/>
    <w:pPr>
      <w:keepNext/>
      <w:spacing w:before="240" w:after="60" w:line="288" w:lineRule="exact"/>
      <w:jc w:val="lef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959AA"/>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9959AA"/>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9959AA"/>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uiPriority w:val="59"/>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 w:type="paragraph" w:customStyle="1" w:styleId="Modtageradresseibrevhoved">
    <w:name w:val="Modtageradresse i brevhoved"/>
    <w:basedOn w:val="Brdtekst"/>
    <w:rsid w:val="00ED0BE5"/>
    <w:pPr>
      <w:spacing w:after="0" w:line="240" w:lineRule="atLeast"/>
      <w:jc w:val="left"/>
    </w:pPr>
    <w:rPr>
      <w:rFonts w:eastAsia="Times New Roman" w:cs="Times New Roman"/>
      <w:kern w:val="18"/>
      <w:sz w:val="20"/>
      <w:szCs w:val="20"/>
      <w:lang w:eastAsia="da-DK"/>
    </w:rPr>
  </w:style>
  <w:style w:type="paragraph" w:customStyle="1" w:styleId="Default">
    <w:name w:val="Default"/>
    <w:rsid w:val="00ED0BE5"/>
    <w:pPr>
      <w:autoSpaceDE w:val="0"/>
      <w:autoSpaceDN w:val="0"/>
      <w:adjustRightInd w:val="0"/>
      <w:spacing w:line="240" w:lineRule="auto"/>
    </w:pPr>
    <w:rPr>
      <w:rFonts w:ascii="Times New Roman" w:hAnsi="Times New Roman" w:cs="Times New Roman"/>
      <w:color w:val="000000"/>
      <w:sz w:val="24"/>
      <w:szCs w:val="24"/>
    </w:rPr>
  </w:style>
  <w:style w:type="paragraph" w:styleId="Brdtekst">
    <w:name w:val="Body Text"/>
    <w:basedOn w:val="Normal"/>
    <w:link w:val="BrdtekstTegn"/>
    <w:uiPriority w:val="99"/>
    <w:semiHidden/>
    <w:unhideWhenUsed/>
    <w:rsid w:val="00ED0BE5"/>
    <w:pPr>
      <w:spacing w:after="120"/>
    </w:pPr>
  </w:style>
  <w:style w:type="character" w:customStyle="1" w:styleId="BrdtekstTegn">
    <w:name w:val="Brødtekst Tegn"/>
    <w:basedOn w:val="Standardskrifttypeiafsnit"/>
    <w:link w:val="Brdtekst"/>
    <w:uiPriority w:val="99"/>
    <w:semiHidden/>
    <w:rsid w:val="00ED0BE5"/>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Desktop\Til%20Captia%202013-07-03\FT%20h&#248;ringsskema.dotx" TargetMode="External"/></Relationships>
</file>

<file path=word/theme/theme1.xml><?xml version="1.0" encoding="utf-8"?>
<a:theme xmlns:a="http://schemas.openxmlformats.org/drawingml/2006/main" name="skm">
  <a:themeElements>
    <a:clrScheme name="Skm">
      <a:dk1>
        <a:srgbClr val="000000"/>
      </a:dk1>
      <a:lt1>
        <a:srgbClr val="FFFFFF"/>
      </a:lt1>
      <a:dk2>
        <a:srgbClr val="57788E"/>
      </a:dk2>
      <a:lt2>
        <a:srgbClr val="C0C0C0"/>
      </a:lt2>
      <a:accent1>
        <a:srgbClr val="000D2F"/>
      </a:accent1>
      <a:accent2>
        <a:srgbClr val="57788E"/>
      </a:accent2>
      <a:accent3>
        <a:srgbClr val="88A7B7"/>
      </a:accent3>
      <a:accent4>
        <a:srgbClr val="BBCFD5"/>
      </a:accent4>
      <a:accent5>
        <a:srgbClr val="99252C"/>
      </a:accent5>
      <a:accent6>
        <a:srgbClr val="777777"/>
      </a:accent6>
      <a:hlink>
        <a:srgbClr val="0000FF"/>
      </a:hlink>
      <a:folHlink>
        <a:srgbClr val="800080"/>
      </a:folHlink>
    </a:clrScheme>
    <a:fontScheme name="Skm">
      <a:majorFont>
        <a:latin typeface="Calibri"/>
        <a:ea typeface=""/>
        <a:cs typeface=""/>
      </a:majorFont>
      <a:minorFont>
        <a:latin typeface="Garamond"/>
        <a:ea typeface=""/>
        <a:cs typeface=""/>
      </a:minorFont>
    </a:fontScheme>
    <a:fmtScheme name="Horis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67DB-2E11-4C05-A681-89E7DC63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 høringsskema</Template>
  <TotalTime>50</TotalTime>
  <Pages>6</Pages>
  <Words>3351</Words>
  <Characters>20447</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FT høringsskema</vt:lpstr>
    </vt:vector>
  </TitlesOfParts>
  <Company>Skatteministeriet</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 høringsskema</dc:title>
  <dc:creator/>
  <cp:lastModifiedBy>Margrete Kiil</cp:lastModifiedBy>
  <cp:revision>17</cp:revision>
  <cp:lastPrinted>2013-12-04T07:44:00Z</cp:lastPrinted>
  <dcterms:created xsi:type="dcterms:W3CDTF">2013-12-03T13:58:00Z</dcterms:created>
  <dcterms:modified xsi:type="dcterms:W3CDTF">2013-12-04T07:45:00Z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C:\Users\w17728\AppData\Local\Temp\Scanjour\Captia\SJ20131204074158436 [DOK29336350].DOCX</vt:lpwstr>
  </property>
  <property fmtid="{D5CDD505-2E9C-101B-9397-08002B2CF9AE}" pid="3" name="title">
    <vt:lpwstr>Høringsskema- Endeligt (DOK29336350)</vt:lpwstr>
  </property>
  <property fmtid="{D5CDD505-2E9C-101B-9397-08002B2CF9AE}" pid="4" name="command">
    <vt:lpwstr>&amp;mergefile=6520904&amp;x_infomerge=1&amp;file_key=6520904</vt:lpwstr>
  </property>
</Properties>
</file>